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7053" w:rsidRDefault="00753626" w:rsidP="003A09B6">
      <w:pPr>
        <w:ind w:left="360"/>
        <w:jc w:val="center"/>
        <w:rPr>
          <w:rFonts w:cs="Calibri"/>
          <w:b/>
          <w:sz w:val="72"/>
          <w:szCs w:val="72"/>
        </w:rPr>
      </w:pPr>
      <w:r w:rsidRPr="000014FD">
        <w:rPr>
          <w:color w:val="0000FF"/>
        </w:rPr>
        <w:fldChar w:fldCharType="begin"/>
      </w:r>
      <w:r w:rsidRPr="000014FD">
        <w:rPr>
          <w:color w:val="0000FF"/>
        </w:rPr>
        <w:instrText xml:space="preserve"> INCLUDEPICTURE "http://www.lutrija.hr/DesignTemplates/Lutrija_content/images/_gui/logo.jpg" \* MERGEFORMATINET </w:instrText>
      </w:r>
      <w:r w:rsidRPr="000014FD">
        <w:rPr>
          <w:color w:val="0000FF"/>
        </w:rPr>
        <w:fldChar w:fldCharType="separate"/>
      </w:r>
      <w:r w:rsidR="00404756">
        <w:rPr>
          <w:color w:val="0000FF"/>
        </w:rPr>
        <w:fldChar w:fldCharType="begin"/>
      </w:r>
      <w:r w:rsidR="00404756">
        <w:rPr>
          <w:color w:val="0000FF"/>
        </w:rPr>
        <w:instrText xml:space="preserve"> INCLUDEPICTURE  "http://www.lutrija.hr/DesignTemplates/Lutrija_content/images/_gui/logo.jpg" \* MERGEFORMATINET </w:instrText>
      </w:r>
      <w:r w:rsidR="00404756">
        <w:rPr>
          <w:color w:val="0000FF"/>
        </w:rPr>
        <w:fldChar w:fldCharType="separate"/>
      </w:r>
      <w:r w:rsidR="00A2037F">
        <w:rPr>
          <w:color w:val="0000FF"/>
        </w:rPr>
        <w:fldChar w:fldCharType="begin"/>
      </w:r>
      <w:r w:rsidR="00A2037F">
        <w:rPr>
          <w:color w:val="0000FF"/>
        </w:rPr>
        <w:instrText xml:space="preserve"> INCLUDEPICTURE  "http://www.lutrija.hr/DesignTemplates/Lutrija_content/images/_gui/logo.jpg" \* MERGEFORMATINET </w:instrText>
      </w:r>
      <w:r w:rsidR="00A2037F">
        <w:rPr>
          <w:color w:val="0000FF"/>
        </w:rPr>
        <w:fldChar w:fldCharType="separate"/>
      </w:r>
      <w:r w:rsidR="008303D7">
        <w:rPr>
          <w:color w:val="0000FF"/>
        </w:rPr>
        <w:fldChar w:fldCharType="begin"/>
      </w:r>
      <w:r w:rsidR="008303D7">
        <w:rPr>
          <w:color w:val="0000FF"/>
        </w:rPr>
        <w:instrText xml:space="preserve"> INCLUDEPICTURE  "http://www.lutrija.hr/DesignTemplates/Lutrija_content/images/_gui/logo.jpg" \* MERGEFORMATINET </w:instrText>
      </w:r>
      <w:r w:rsidR="008303D7">
        <w:rPr>
          <w:color w:val="0000FF"/>
        </w:rPr>
        <w:fldChar w:fldCharType="separate"/>
      </w:r>
      <w:r w:rsidR="00F50262">
        <w:rPr>
          <w:color w:val="0000FF"/>
        </w:rPr>
        <w:fldChar w:fldCharType="begin"/>
      </w:r>
      <w:r w:rsidR="00F50262">
        <w:rPr>
          <w:color w:val="0000FF"/>
        </w:rPr>
        <w:instrText xml:space="preserve"> INCLUDEPICTURE  "http://www.lutrija.hr/DesignTemplates/Lutrija_content/images/_gui/logo.jpg" \* MERGEFORMATINET </w:instrText>
      </w:r>
      <w:r w:rsidR="00F50262">
        <w:rPr>
          <w:color w:val="0000FF"/>
        </w:rPr>
        <w:fldChar w:fldCharType="separate"/>
      </w:r>
      <w:r w:rsidR="00B20829">
        <w:rPr>
          <w:color w:val="0000FF"/>
        </w:rPr>
        <w:fldChar w:fldCharType="begin"/>
      </w:r>
      <w:r w:rsidR="00B20829">
        <w:rPr>
          <w:color w:val="0000FF"/>
        </w:rPr>
        <w:instrText xml:space="preserve"> INCLUDEPICTURE  "http://www.lutrija.hr/DesignTemplates/Lutrija_content/images/_gui/logo.jpg" \* MERGEFORMATINET </w:instrText>
      </w:r>
      <w:r w:rsidR="00B20829">
        <w:rPr>
          <w:color w:val="0000FF"/>
        </w:rPr>
        <w:fldChar w:fldCharType="separate"/>
      </w:r>
      <w:r w:rsidR="00A62E45">
        <w:rPr>
          <w:color w:val="0000FF"/>
        </w:rPr>
        <w:fldChar w:fldCharType="begin"/>
      </w:r>
      <w:r w:rsidR="00A62E45">
        <w:rPr>
          <w:color w:val="0000FF"/>
        </w:rPr>
        <w:instrText xml:space="preserve"> INCLUDEPICTURE  "http://www.lutrija.hr/DesignTemplates/Lutrija_content/images/_gui/logo.jpg" \* MERGEFORMATINET </w:instrText>
      </w:r>
      <w:r w:rsidR="00A62E45">
        <w:rPr>
          <w:color w:val="0000FF"/>
        </w:rPr>
        <w:fldChar w:fldCharType="separate"/>
      </w:r>
      <w:r w:rsidR="008D1AD2">
        <w:rPr>
          <w:color w:val="0000FF"/>
        </w:rPr>
        <w:fldChar w:fldCharType="begin"/>
      </w:r>
      <w:r w:rsidR="008D1AD2">
        <w:rPr>
          <w:color w:val="0000FF"/>
        </w:rPr>
        <w:instrText xml:space="preserve"> INCLUDEPICTURE  "http://www.lutrija.hr/DesignTemplates/Lutrija_content/images/_gui/logo.jpg" \* MERGEFORMATINET </w:instrText>
      </w:r>
      <w:r w:rsidR="008D1AD2">
        <w:rPr>
          <w:color w:val="0000FF"/>
        </w:rPr>
        <w:fldChar w:fldCharType="separate"/>
      </w:r>
      <w:r w:rsidR="00581473">
        <w:rPr>
          <w:color w:val="0000FF"/>
        </w:rPr>
        <w:fldChar w:fldCharType="begin"/>
      </w:r>
      <w:r w:rsidR="00581473">
        <w:rPr>
          <w:color w:val="0000FF"/>
        </w:rPr>
        <w:instrText xml:space="preserve"> INCLUDEPICTURE  "http://www.lutrija.hr/DesignTemplates/Lutrija_content/images/_gui/logo.jpg" \* MERGEFORMATINET </w:instrText>
      </w:r>
      <w:r w:rsidR="00581473">
        <w:rPr>
          <w:color w:val="0000FF"/>
        </w:rPr>
        <w:fldChar w:fldCharType="separate"/>
      </w:r>
      <w:r w:rsidR="006A4244">
        <w:rPr>
          <w:color w:val="0000FF"/>
        </w:rPr>
        <w:fldChar w:fldCharType="begin"/>
      </w:r>
      <w:r w:rsidR="006A4244">
        <w:rPr>
          <w:color w:val="0000FF"/>
        </w:rPr>
        <w:instrText xml:space="preserve"> INCLUDEPICTURE  "http://www.lutrija.hr/DesignTemplates/Lutrija_content/images/_gui/logo.jpg" \* MERGEFORMATINET </w:instrText>
      </w:r>
      <w:r w:rsidR="006A4244">
        <w:rPr>
          <w:color w:val="0000FF"/>
        </w:rPr>
        <w:fldChar w:fldCharType="separate"/>
      </w:r>
      <w:r w:rsidR="00C81C73">
        <w:rPr>
          <w:color w:val="0000FF"/>
        </w:rPr>
        <w:fldChar w:fldCharType="begin"/>
      </w:r>
      <w:r w:rsidR="00C81C73">
        <w:rPr>
          <w:color w:val="0000FF"/>
        </w:rPr>
        <w:instrText xml:space="preserve"> INCLUDEPICTURE  "http://www.lutrija.hr/DesignTemplates/Lutrija_content/images/_gui/logo.jpg" \* MERGEFORMATINET </w:instrText>
      </w:r>
      <w:r w:rsidR="00C81C73">
        <w:rPr>
          <w:color w:val="0000FF"/>
        </w:rPr>
        <w:fldChar w:fldCharType="separate"/>
      </w:r>
      <w:r w:rsidR="00C81C73">
        <w:rPr>
          <w:color w:val="0000FF"/>
        </w:rPr>
        <w:fldChar w:fldCharType="begin"/>
      </w:r>
      <w:r w:rsidR="00C81C73">
        <w:rPr>
          <w:color w:val="0000FF"/>
        </w:rPr>
        <w:instrText xml:space="preserve"> INCLUDEPICTURE  "http://www.lutrija.hr/DesignTemplates/Lutrija_content/images/_gui/logo.jpg" \* MERGEFORMATINET </w:instrText>
      </w:r>
      <w:r w:rsidR="00C81C73">
        <w:rPr>
          <w:color w:val="0000FF"/>
        </w:rPr>
        <w:fldChar w:fldCharType="separate"/>
      </w:r>
      <w:r w:rsidR="0007395B">
        <w:rPr>
          <w:color w:val="0000FF"/>
        </w:rPr>
        <w:fldChar w:fldCharType="begin"/>
      </w:r>
      <w:r w:rsidR="0007395B">
        <w:rPr>
          <w:color w:val="0000FF"/>
        </w:rPr>
        <w:instrText xml:space="preserve"> INCLUDEPICTURE  "http://www.lutrija.hr/DesignTemplates/Lutrija_content/images/_gui/logo.jpg" \* MERGEFORMATINET </w:instrText>
      </w:r>
      <w:r w:rsidR="0007395B">
        <w:rPr>
          <w:color w:val="0000FF"/>
        </w:rPr>
        <w:fldChar w:fldCharType="separate"/>
      </w:r>
      <w:r w:rsidR="00B87C15">
        <w:rPr>
          <w:color w:val="0000FF"/>
        </w:rPr>
        <w:fldChar w:fldCharType="begin"/>
      </w:r>
      <w:r w:rsidR="00B87C15">
        <w:rPr>
          <w:color w:val="0000FF"/>
        </w:rPr>
        <w:instrText xml:space="preserve"> INCLUDEPICTURE  "http://www.lutrija.hr/DesignTemplates/Lutrija_content/images/_gui/logo.jpg" \* MERGEFORMATINET </w:instrText>
      </w:r>
      <w:r w:rsidR="00B87C15">
        <w:rPr>
          <w:color w:val="0000FF"/>
        </w:rPr>
        <w:fldChar w:fldCharType="separate"/>
      </w:r>
      <w:r w:rsidR="00111EAE">
        <w:rPr>
          <w:color w:val="0000FF"/>
        </w:rPr>
        <w:fldChar w:fldCharType="begin"/>
      </w:r>
      <w:r w:rsidR="00111EAE">
        <w:rPr>
          <w:color w:val="0000FF"/>
        </w:rPr>
        <w:instrText xml:space="preserve"> INCLUDEPICTURE  "http://www.lutrija.hr/DesignTemplates/Lutrija_content/images/_gui/logo.jpg" \* MERGEFORMATINET </w:instrText>
      </w:r>
      <w:r w:rsidR="00111EAE">
        <w:rPr>
          <w:color w:val="0000FF"/>
        </w:rPr>
        <w:fldChar w:fldCharType="separate"/>
      </w:r>
      <w:r w:rsidR="00E92A61">
        <w:rPr>
          <w:color w:val="0000FF"/>
        </w:rPr>
        <w:fldChar w:fldCharType="begin"/>
      </w:r>
      <w:r w:rsidR="00E92A61">
        <w:rPr>
          <w:color w:val="0000FF"/>
        </w:rPr>
        <w:instrText xml:space="preserve"> INCLUDEPICTURE  "http://www.lutrija.hr/DesignTemplates/Lutrija_content/images/_gui/logo.jpg" \* MERGEFORMATINET </w:instrText>
      </w:r>
      <w:r w:rsidR="00E92A61">
        <w:rPr>
          <w:color w:val="0000FF"/>
        </w:rPr>
        <w:fldChar w:fldCharType="separate"/>
      </w:r>
      <w:r w:rsidR="000E0302">
        <w:rPr>
          <w:color w:val="0000FF"/>
        </w:rPr>
        <w:fldChar w:fldCharType="begin"/>
      </w:r>
      <w:r w:rsidR="000E0302">
        <w:rPr>
          <w:color w:val="0000FF"/>
        </w:rPr>
        <w:instrText xml:space="preserve"> INCLUDEPICTURE  "http://www.lutrija.hr/DesignTemplates/Lutrija_content/images/_gui/logo.jpg" \* MERGEFORMATINET </w:instrText>
      </w:r>
      <w:r w:rsidR="000E0302">
        <w:rPr>
          <w:color w:val="0000FF"/>
        </w:rPr>
        <w:fldChar w:fldCharType="separate"/>
      </w:r>
      <w:r w:rsidR="00220B0F">
        <w:rPr>
          <w:color w:val="0000FF"/>
        </w:rPr>
        <w:fldChar w:fldCharType="begin"/>
      </w:r>
      <w:r w:rsidR="00220B0F">
        <w:rPr>
          <w:color w:val="0000FF"/>
        </w:rPr>
        <w:instrText xml:space="preserve"> INCLUDEPICTURE  "http://www.lutrija.hr/DesignTemplates/Lutrija_content/images/_gui/logo.jpg" \* MERGEFORMATINET </w:instrText>
      </w:r>
      <w:r w:rsidR="00220B0F">
        <w:rPr>
          <w:color w:val="0000FF"/>
        </w:rPr>
        <w:fldChar w:fldCharType="separate"/>
      </w:r>
      <w:r w:rsidR="0050539F">
        <w:rPr>
          <w:color w:val="0000FF"/>
        </w:rPr>
        <w:fldChar w:fldCharType="begin"/>
      </w:r>
      <w:r w:rsidR="0050539F">
        <w:rPr>
          <w:color w:val="0000FF"/>
        </w:rPr>
        <w:instrText xml:space="preserve"> INCLUDEPICTURE  "http://www.lutrija.hr/DesignTemplates/Lutrija_content/images/_gui/logo.jpg" \* MERGEFORMATINET </w:instrText>
      </w:r>
      <w:r w:rsidR="0050539F">
        <w:rPr>
          <w:color w:val="0000FF"/>
        </w:rPr>
        <w:fldChar w:fldCharType="separate"/>
      </w:r>
      <w:r w:rsidR="00286E66">
        <w:rPr>
          <w:color w:val="0000FF"/>
        </w:rPr>
        <w:fldChar w:fldCharType="begin"/>
      </w:r>
      <w:r w:rsidR="00286E66">
        <w:rPr>
          <w:color w:val="0000FF"/>
        </w:rPr>
        <w:instrText xml:space="preserve"> INCLUDEPICTURE  "http://www.lutrija.hr/DesignTemplates/Lutrija_content/images/_gui/logo.jpg" \* MERGEFORMATINET </w:instrText>
      </w:r>
      <w:r w:rsidR="00286E66">
        <w:rPr>
          <w:color w:val="0000FF"/>
        </w:rPr>
        <w:fldChar w:fldCharType="separate"/>
      </w:r>
      <w:r w:rsidR="000359F1">
        <w:rPr>
          <w:color w:val="0000FF"/>
        </w:rPr>
        <w:fldChar w:fldCharType="begin"/>
      </w:r>
      <w:r w:rsidR="000359F1">
        <w:rPr>
          <w:color w:val="0000FF"/>
        </w:rPr>
        <w:instrText xml:space="preserve"> INCLUDEPICTURE  "http://www.lutrija.hr/DesignTemplates/Lutrija_content/images/_gui/logo.jpg" \* MERGEFORMATINET </w:instrText>
      </w:r>
      <w:r w:rsidR="000359F1">
        <w:rPr>
          <w:color w:val="0000FF"/>
        </w:rPr>
        <w:fldChar w:fldCharType="separate"/>
      </w:r>
      <w:r w:rsidR="00293EFB">
        <w:rPr>
          <w:color w:val="0000FF"/>
        </w:rPr>
        <w:fldChar w:fldCharType="begin"/>
      </w:r>
      <w:r w:rsidR="00293EFB">
        <w:rPr>
          <w:color w:val="0000FF"/>
        </w:rPr>
        <w:instrText xml:space="preserve"> INCLUDEPICTURE  "http://www.lutrija.hr/DesignTemplates/Lutrija_content/images/_gui/logo.jpg" \* MERGEFORMATINET </w:instrText>
      </w:r>
      <w:r w:rsidR="00293EFB">
        <w:rPr>
          <w:color w:val="0000FF"/>
        </w:rPr>
        <w:fldChar w:fldCharType="separate"/>
      </w:r>
      <w:r w:rsidR="0025454E">
        <w:rPr>
          <w:color w:val="0000FF"/>
        </w:rPr>
        <w:fldChar w:fldCharType="begin"/>
      </w:r>
      <w:r w:rsidR="0025454E">
        <w:rPr>
          <w:color w:val="0000FF"/>
        </w:rPr>
        <w:instrText xml:space="preserve"> INCLUDEPICTURE  "http://www.lutrija.hr/DesignTemplates/Lutrija_content/images/_gui/logo.jpg" \* MERGEFORMATINET </w:instrText>
      </w:r>
      <w:r w:rsidR="0025454E">
        <w:rPr>
          <w:color w:val="0000FF"/>
        </w:rPr>
        <w:fldChar w:fldCharType="separate"/>
      </w:r>
      <w:r w:rsidR="0043357B">
        <w:rPr>
          <w:color w:val="0000FF"/>
        </w:rPr>
        <w:fldChar w:fldCharType="begin"/>
      </w:r>
      <w:r w:rsidR="0043357B">
        <w:rPr>
          <w:color w:val="0000FF"/>
        </w:rPr>
        <w:instrText xml:space="preserve"> INCLUDEPICTURE  "http://www.lutrija.hr/DesignTemplates/Lutrija_content/images/_gui/logo.jpg" \* MERGEFORMATINET </w:instrText>
      </w:r>
      <w:r w:rsidR="0043357B">
        <w:rPr>
          <w:color w:val="0000FF"/>
        </w:rPr>
        <w:fldChar w:fldCharType="separate"/>
      </w:r>
      <w:r w:rsidR="00711AE4">
        <w:rPr>
          <w:color w:val="0000FF"/>
        </w:rPr>
        <w:fldChar w:fldCharType="begin"/>
      </w:r>
      <w:r w:rsidR="00711AE4">
        <w:rPr>
          <w:color w:val="0000FF"/>
        </w:rPr>
        <w:instrText xml:space="preserve"> INCLUDEPICTURE  "http://www.lutrija.hr/DesignTemplates/Lutrija_content/images/_gui/logo.jpg" \* MERGEFORMATINET </w:instrText>
      </w:r>
      <w:r w:rsidR="00711AE4">
        <w:rPr>
          <w:color w:val="0000FF"/>
        </w:rPr>
        <w:fldChar w:fldCharType="separate"/>
      </w:r>
      <w:r w:rsidR="00B54BFB">
        <w:rPr>
          <w:color w:val="0000FF"/>
        </w:rPr>
        <w:fldChar w:fldCharType="begin"/>
      </w:r>
      <w:r w:rsidR="00B54BFB">
        <w:rPr>
          <w:color w:val="0000FF"/>
        </w:rPr>
        <w:instrText xml:space="preserve"> INCLUDEPICTURE  "http://www.lutrija.hr/DesignTemplates/Lutrija_content/images/_gui/logo.jpg" \* MERGEFORMATINET </w:instrText>
      </w:r>
      <w:r w:rsidR="00B54BFB">
        <w:rPr>
          <w:color w:val="0000FF"/>
        </w:rPr>
        <w:fldChar w:fldCharType="separate"/>
      </w:r>
      <w:r w:rsidR="00DD604F">
        <w:rPr>
          <w:color w:val="0000FF"/>
        </w:rPr>
        <w:fldChar w:fldCharType="begin"/>
      </w:r>
      <w:r w:rsidR="00DD604F">
        <w:rPr>
          <w:color w:val="0000FF"/>
        </w:rPr>
        <w:instrText xml:space="preserve"> INCLUDEPICTURE  "http://www.lutrija.hr/DesignTemplates/Lutrija_content/images/_gui/logo.jpg" \* MERGEFORMATINET </w:instrText>
      </w:r>
      <w:r w:rsidR="00DD604F">
        <w:rPr>
          <w:color w:val="0000FF"/>
        </w:rPr>
        <w:fldChar w:fldCharType="separate"/>
      </w:r>
      <w:r w:rsidR="007A136F">
        <w:rPr>
          <w:color w:val="0000FF"/>
        </w:rPr>
        <w:fldChar w:fldCharType="begin"/>
      </w:r>
      <w:r w:rsidR="007A136F">
        <w:rPr>
          <w:color w:val="0000FF"/>
        </w:rPr>
        <w:instrText xml:space="preserve"> INCLUDEPICTURE  "http://www.lutrija.hr/DesignTemplates/Lutrija_content/images/_gui/logo.jpg" \* MERGEFORMATINET </w:instrText>
      </w:r>
      <w:r w:rsidR="007A136F">
        <w:rPr>
          <w:color w:val="0000FF"/>
        </w:rPr>
        <w:fldChar w:fldCharType="separate"/>
      </w:r>
      <w:r w:rsidR="005B50B2">
        <w:rPr>
          <w:color w:val="0000FF"/>
        </w:rPr>
        <w:fldChar w:fldCharType="begin"/>
      </w:r>
      <w:r w:rsidR="005B50B2">
        <w:rPr>
          <w:color w:val="0000FF"/>
        </w:rPr>
        <w:instrText xml:space="preserve"> INCLUDEPICTURE  "http://www.lutrija.hr/DesignTemplates/Lutrija_content/images/_gui/logo.jpg" \* MERGEFORMATINET </w:instrText>
      </w:r>
      <w:r w:rsidR="005B50B2">
        <w:rPr>
          <w:color w:val="0000FF"/>
        </w:rPr>
        <w:fldChar w:fldCharType="separate"/>
      </w:r>
      <w:r w:rsidR="00813033">
        <w:rPr>
          <w:color w:val="0000FF"/>
        </w:rPr>
        <w:fldChar w:fldCharType="begin"/>
      </w:r>
      <w:r w:rsidR="00813033">
        <w:rPr>
          <w:color w:val="0000FF"/>
        </w:rPr>
        <w:instrText xml:space="preserve"> INCLUDEPICTURE  "http://www.lutrija.hr/DesignTemplates/Lutrija_content/images/_gui/logo.jpg" \* MERGEFORMATINET </w:instrText>
      </w:r>
      <w:r w:rsidR="00813033">
        <w:rPr>
          <w:color w:val="0000FF"/>
        </w:rPr>
        <w:fldChar w:fldCharType="separate"/>
      </w:r>
      <w:r w:rsidR="008D2756">
        <w:rPr>
          <w:color w:val="0000FF"/>
        </w:rPr>
        <w:fldChar w:fldCharType="begin"/>
      </w:r>
      <w:r w:rsidR="008D2756">
        <w:rPr>
          <w:color w:val="0000FF"/>
        </w:rPr>
        <w:instrText xml:space="preserve"> INCLUDEPICTURE  "http://www.lutrija.hr/DesignTemplates/Lutrija_content/images/_gui/logo.jpg" \* MERGEFORMATINET </w:instrText>
      </w:r>
      <w:r w:rsidR="008D2756">
        <w:rPr>
          <w:color w:val="0000FF"/>
        </w:rPr>
        <w:fldChar w:fldCharType="separate"/>
      </w:r>
      <w:r w:rsidR="00CC25E4">
        <w:rPr>
          <w:color w:val="0000FF"/>
        </w:rPr>
        <w:fldChar w:fldCharType="begin"/>
      </w:r>
      <w:r w:rsidR="00CC25E4">
        <w:rPr>
          <w:color w:val="0000FF"/>
        </w:rPr>
        <w:instrText xml:space="preserve"> INCLUDEPICTURE  "http://www.lutrija.hr/DesignTemplates/Lutrija_content/images/_gui/logo.jpg" \* MERGEFORMATINET </w:instrText>
      </w:r>
      <w:r w:rsidR="00CC25E4">
        <w:rPr>
          <w:color w:val="0000FF"/>
        </w:rPr>
        <w:fldChar w:fldCharType="separate"/>
      </w:r>
      <w:r w:rsidR="00885FF8">
        <w:rPr>
          <w:color w:val="0000FF"/>
        </w:rPr>
        <w:fldChar w:fldCharType="begin"/>
      </w:r>
      <w:r w:rsidR="00885FF8">
        <w:rPr>
          <w:color w:val="0000FF"/>
        </w:rPr>
        <w:instrText xml:space="preserve"> INCLUDEPICTURE  "http://www.lutrija.hr/DesignTemplates/Lutrija_content/images/_gui/logo.jpg" \* MERGEFORMATINET </w:instrText>
      </w:r>
      <w:r w:rsidR="00885FF8">
        <w:rPr>
          <w:color w:val="0000FF"/>
        </w:rPr>
        <w:fldChar w:fldCharType="separate"/>
      </w:r>
      <w:r w:rsidR="00E95497">
        <w:rPr>
          <w:color w:val="0000FF"/>
        </w:rPr>
        <w:fldChar w:fldCharType="begin"/>
      </w:r>
      <w:r w:rsidR="00E95497">
        <w:rPr>
          <w:color w:val="0000FF"/>
        </w:rPr>
        <w:instrText xml:space="preserve"> INCLUDEPICTURE  "http://www.lutrija.hr/DesignTemplates/Lutrija_content/images/_gui/logo.jpg" \* MERGEFORMATINET </w:instrText>
      </w:r>
      <w:r w:rsidR="00E95497">
        <w:rPr>
          <w:color w:val="0000FF"/>
        </w:rPr>
        <w:fldChar w:fldCharType="separate"/>
      </w:r>
      <w:r w:rsidR="0069367A">
        <w:rPr>
          <w:color w:val="0000FF"/>
        </w:rPr>
        <w:fldChar w:fldCharType="begin"/>
      </w:r>
      <w:r w:rsidR="0069367A">
        <w:rPr>
          <w:color w:val="0000FF"/>
        </w:rPr>
        <w:instrText xml:space="preserve"> INCLUDEPICTURE  "http://www.lutrija.hr/DesignTemplates/Lutrija_content/images/_gui/logo.jpg" \* MERGEFORMATINET </w:instrText>
      </w:r>
      <w:r w:rsidR="0069367A">
        <w:rPr>
          <w:color w:val="0000FF"/>
        </w:rPr>
        <w:fldChar w:fldCharType="separate"/>
      </w:r>
      <w:r w:rsidR="00034C40">
        <w:rPr>
          <w:color w:val="0000FF"/>
        </w:rPr>
        <w:fldChar w:fldCharType="begin"/>
      </w:r>
      <w:r w:rsidR="00034C40">
        <w:rPr>
          <w:color w:val="0000FF"/>
        </w:rPr>
        <w:instrText xml:space="preserve"> INCLUDEPICTURE  "http://www.lutrija.hr/DesignTemplates/Lutrija_content/images/_gui/logo.jpg" \* MERGEFORMATINET </w:instrText>
      </w:r>
      <w:r w:rsidR="00034C40">
        <w:rPr>
          <w:color w:val="0000FF"/>
        </w:rPr>
        <w:fldChar w:fldCharType="separate"/>
      </w:r>
      <w:r w:rsidR="007E3BC5">
        <w:rPr>
          <w:color w:val="0000FF"/>
        </w:rPr>
        <w:fldChar w:fldCharType="begin"/>
      </w:r>
      <w:r w:rsidR="007E3BC5">
        <w:rPr>
          <w:color w:val="0000FF"/>
        </w:rPr>
        <w:instrText xml:space="preserve"> INCLUDEPICTURE  "http://www.lutrija.hr/DesignTemplates/Lutrija_content/images/_gui/logo.jpg" \* MERGEFORMATINET </w:instrText>
      </w:r>
      <w:r w:rsidR="007E3BC5">
        <w:rPr>
          <w:color w:val="0000FF"/>
        </w:rPr>
        <w:fldChar w:fldCharType="separate"/>
      </w:r>
      <w:r w:rsidR="00FC7F81">
        <w:rPr>
          <w:color w:val="0000FF"/>
        </w:rPr>
        <w:fldChar w:fldCharType="begin"/>
      </w:r>
      <w:r w:rsidR="00FC7F81">
        <w:rPr>
          <w:color w:val="0000FF"/>
        </w:rPr>
        <w:instrText xml:space="preserve"> INCLUDEPICTURE  "http://www.lutrija.hr/DesignTemplates/Lutrija_content/images/_gui/logo.jpg" \* MERGEFORMATINET </w:instrText>
      </w:r>
      <w:r w:rsidR="00FC7F81">
        <w:rPr>
          <w:color w:val="0000FF"/>
        </w:rPr>
        <w:fldChar w:fldCharType="separate"/>
      </w:r>
      <w:r w:rsidR="00FD7A4B">
        <w:rPr>
          <w:color w:val="0000FF"/>
        </w:rPr>
        <w:fldChar w:fldCharType="begin"/>
      </w:r>
      <w:r w:rsidR="00FD7A4B">
        <w:rPr>
          <w:color w:val="0000FF"/>
        </w:rPr>
        <w:instrText xml:space="preserve"> INCLUDEPICTURE  "http://www.lutrija.hr/DesignTemplates/Lutrija_content/images/_gui/logo.jpg" \* MERGEFORMATINET </w:instrText>
      </w:r>
      <w:r w:rsidR="00FD7A4B">
        <w:rPr>
          <w:color w:val="0000FF"/>
        </w:rPr>
        <w:fldChar w:fldCharType="separate"/>
      </w:r>
      <w:r w:rsidR="00F265D6">
        <w:rPr>
          <w:color w:val="0000FF"/>
        </w:rPr>
        <w:fldChar w:fldCharType="begin"/>
      </w:r>
      <w:r w:rsidR="00F265D6">
        <w:rPr>
          <w:color w:val="0000FF"/>
        </w:rPr>
        <w:instrText xml:space="preserve"> </w:instrText>
      </w:r>
      <w:r w:rsidR="00F265D6">
        <w:rPr>
          <w:color w:val="0000FF"/>
        </w:rPr>
        <w:instrText xml:space="preserve">INCLUDEPICTURE  "http://www.lutrija.hr/DesignTemplates/Lutrija_content/images/_gui/logo.jpg" \* </w:instrText>
      </w:r>
      <w:r w:rsidR="00F265D6">
        <w:rPr>
          <w:color w:val="0000FF"/>
        </w:rPr>
        <w:instrText>MERGEFORMATINET</w:instrText>
      </w:r>
      <w:r w:rsidR="00F265D6">
        <w:rPr>
          <w:color w:val="0000FF"/>
        </w:rPr>
        <w:instrText xml:space="preserve"> </w:instrText>
      </w:r>
      <w:r w:rsidR="00F265D6">
        <w:rPr>
          <w:color w:val="0000FF"/>
        </w:rPr>
        <w:fldChar w:fldCharType="separate"/>
      </w:r>
      <w:r w:rsidR="00392DE6">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rvatska Lutrija" style="width:180pt;height:29.25pt" o:button="t">
            <v:imagedata r:id="rId12" r:href="rId13"/>
          </v:shape>
        </w:pict>
      </w:r>
      <w:r w:rsidR="00F265D6">
        <w:rPr>
          <w:color w:val="0000FF"/>
        </w:rPr>
        <w:fldChar w:fldCharType="end"/>
      </w:r>
      <w:r w:rsidR="00FD7A4B">
        <w:rPr>
          <w:color w:val="0000FF"/>
        </w:rPr>
        <w:fldChar w:fldCharType="end"/>
      </w:r>
      <w:r w:rsidR="00FC7F81">
        <w:rPr>
          <w:color w:val="0000FF"/>
        </w:rPr>
        <w:fldChar w:fldCharType="end"/>
      </w:r>
      <w:r w:rsidR="007E3BC5">
        <w:rPr>
          <w:color w:val="0000FF"/>
        </w:rPr>
        <w:fldChar w:fldCharType="end"/>
      </w:r>
      <w:r w:rsidR="00034C40">
        <w:rPr>
          <w:color w:val="0000FF"/>
        </w:rPr>
        <w:fldChar w:fldCharType="end"/>
      </w:r>
      <w:r w:rsidR="0069367A">
        <w:rPr>
          <w:color w:val="0000FF"/>
        </w:rPr>
        <w:fldChar w:fldCharType="end"/>
      </w:r>
      <w:r w:rsidR="00E95497">
        <w:rPr>
          <w:color w:val="0000FF"/>
        </w:rPr>
        <w:fldChar w:fldCharType="end"/>
      </w:r>
      <w:r w:rsidR="00885FF8">
        <w:rPr>
          <w:color w:val="0000FF"/>
        </w:rPr>
        <w:fldChar w:fldCharType="end"/>
      </w:r>
      <w:r w:rsidR="00CC25E4">
        <w:rPr>
          <w:color w:val="0000FF"/>
        </w:rPr>
        <w:fldChar w:fldCharType="end"/>
      </w:r>
      <w:r w:rsidR="008D2756">
        <w:rPr>
          <w:color w:val="0000FF"/>
        </w:rPr>
        <w:fldChar w:fldCharType="end"/>
      </w:r>
      <w:r w:rsidR="00813033">
        <w:rPr>
          <w:color w:val="0000FF"/>
        </w:rPr>
        <w:fldChar w:fldCharType="end"/>
      </w:r>
      <w:r w:rsidR="005B50B2">
        <w:rPr>
          <w:color w:val="0000FF"/>
        </w:rPr>
        <w:fldChar w:fldCharType="end"/>
      </w:r>
      <w:r w:rsidR="007A136F">
        <w:rPr>
          <w:color w:val="0000FF"/>
        </w:rPr>
        <w:fldChar w:fldCharType="end"/>
      </w:r>
      <w:r w:rsidR="00DD604F">
        <w:rPr>
          <w:color w:val="0000FF"/>
        </w:rPr>
        <w:fldChar w:fldCharType="end"/>
      </w:r>
      <w:r w:rsidR="00B54BFB">
        <w:rPr>
          <w:color w:val="0000FF"/>
        </w:rPr>
        <w:fldChar w:fldCharType="end"/>
      </w:r>
      <w:r w:rsidR="00711AE4">
        <w:rPr>
          <w:color w:val="0000FF"/>
        </w:rPr>
        <w:fldChar w:fldCharType="end"/>
      </w:r>
      <w:r w:rsidR="0043357B">
        <w:rPr>
          <w:color w:val="0000FF"/>
        </w:rPr>
        <w:fldChar w:fldCharType="end"/>
      </w:r>
      <w:r w:rsidR="0025454E">
        <w:rPr>
          <w:color w:val="0000FF"/>
        </w:rPr>
        <w:fldChar w:fldCharType="end"/>
      </w:r>
      <w:r w:rsidR="00293EFB">
        <w:rPr>
          <w:color w:val="0000FF"/>
        </w:rPr>
        <w:fldChar w:fldCharType="end"/>
      </w:r>
      <w:r w:rsidR="000359F1">
        <w:rPr>
          <w:color w:val="0000FF"/>
        </w:rPr>
        <w:fldChar w:fldCharType="end"/>
      </w:r>
      <w:r w:rsidR="00286E66">
        <w:rPr>
          <w:color w:val="0000FF"/>
        </w:rPr>
        <w:fldChar w:fldCharType="end"/>
      </w:r>
      <w:r w:rsidR="0050539F">
        <w:rPr>
          <w:color w:val="0000FF"/>
        </w:rPr>
        <w:fldChar w:fldCharType="end"/>
      </w:r>
      <w:r w:rsidR="00220B0F">
        <w:rPr>
          <w:color w:val="0000FF"/>
        </w:rPr>
        <w:fldChar w:fldCharType="end"/>
      </w:r>
      <w:r w:rsidR="000E0302">
        <w:rPr>
          <w:color w:val="0000FF"/>
        </w:rPr>
        <w:fldChar w:fldCharType="end"/>
      </w:r>
      <w:r w:rsidR="00E92A61">
        <w:rPr>
          <w:color w:val="0000FF"/>
        </w:rPr>
        <w:fldChar w:fldCharType="end"/>
      </w:r>
      <w:r w:rsidR="00111EAE">
        <w:rPr>
          <w:color w:val="0000FF"/>
        </w:rPr>
        <w:fldChar w:fldCharType="end"/>
      </w:r>
      <w:r w:rsidR="00B87C15">
        <w:rPr>
          <w:color w:val="0000FF"/>
        </w:rPr>
        <w:fldChar w:fldCharType="end"/>
      </w:r>
      <w:r w:rsidR="0007395B">
        <w:rPr>
          <w:color w:val="0000FF"/>
        </w:rPr>
        <w:fldChar w:fldCharType="end"/>
      </w:r>
      <w:r w:rsidR="00C81C73">
        <w:rPr>
          <w:color w:val="0000FF"/>
        </w:rPr>
        <w:fldChar w:fldCharType="end"/>
      </w:r>
      <w:r w:rsidR="00C81C73">
        <w:rPr>
          <w:color w:val="0000FF"/>
        </w:rPr>
        <w:fldChar w:fldCharType="end"/>
      </w:r>
      <w:r w:rsidR="006A4244">
        <w:rPr>
          <w:color w:val="0000FF"/>
        </w:rPr>
        <w:fldChar w:fldCharType="end"/>
      </w:r>
      <w:r w:rsidR="00581473">
        <w:rPr>
          <w:color w:val="0000FF"/>
        </w:rPr>
        <w:fldChar w:fldCharType="end"/>
      </w:r>
      <w:r w:rsidR="008D1AD2">
        <w:rPr>
          <w:color w:val="0000FF"/>
        </w:rPr>
        <w:fldChar w:fldCharType="end"/>
      </w:r>
      <w:r w:rsidR="00A62E45">
        <w:rPr>
          <w:color w:val="0000FF"/>
        </w:rPr>
        <w:fldChar w:fldCharType="end"/>
      </w:r>
      <w:r w:rsidR="00B20829">
        <w:rPr>
          <w:color w:val="0000FF"/>
        </w:rPr>
        <w:fldChar w:fldCharType="end"/>
      </w:r>
      <w:r w:rsidR="00F50262">
        <w:rPr>
          <w:color w:val="0000FF"/>
        </w:rPr>
        <w:fldChar w:fldCharType="end"/>
      </w:r>
      <w:r w:rsidR="008303D7">
        <w:rPr>
          <w:color w:val="0000FF"/>
        </w:rPr>
        <w:fldChar w:fldCharType="end"/>
      </w:r>
      <w:r w:rsidR="00A2037F">
        <w:rPr>
          <w:color w:val="0000FF"/>
        </w:rPr>
        <w:fldChar w:fldCharType="end"/>
      </w:r>
      <w:r w:rsidR="00404756">
        <w:rPr>
          <w:color w:val="0000FF"/>
        </w:rPr>
        <w:fldChar w:fldCharType="end"/>
      </w:r>
      <w:r w:rsidRPr="000014FD">
        <w:rPr>
          <w:color w:val="0000FF"/>
        </w:rPr>
        <w:fldChar w:fldCharType="end"/>
      </w:r>
    </w:p>
    <w:p w:rsidR="00497053" w:rsidRDefault="00497053" w:rsidP="003A09B6">
      <w:pPr>
        <w:ind w:left="360"/>
        <w:jc w:val="center"/>
        <w:rPr>
          <w:rFonts w:cs="Calibri"/>
          <w:b/>
          <w:sz w:val="72"/>
          <w:szCs w:val="72"/>
        </w:rPr>
      </w:pPr>
    </w:p>
    <w:p w:rsidR="00497053" w:rsidRDefault="00497053" w:rsidP="003A09B6">
      <w:pPr>
        <w:ind w:left="360"/>
        <w:jc w:val="center"/>
        <w:rPr>
          <w:rFonts w:cs="Calibri"/>
          <w:b/>
          <w:sz w:val="72"/>
          <w:szCs w:val="72"/>
        </w:rPr>
      </w:pPr>
    </w:p>
    <w:p w:rsidR="008D1F18" w:rsidRDefault="008D1F18" w:rsidP="003A09B6">
      <w:pPr>
        <w:ind w:left="360"/>
        <w:jc w:val="center"/>
        <w:rPr>
          <w:rFonts w:cs="Calibri"/>
          <w:b/>
          <w:sz w:val="72"/>
          <w:szCs w:val="72"/>
        </w:rPr>
      </w:pPr>
    </w:p>
    <w:p w:rsidR="00753626" w:rsidRDefault="00753626" w:rsidP="00034C40">
      <w:pPr>
        <w:rPr>
          <w:rFonts w:cs="Calibri"/>
          <w:b/>
          <w:sz w:val="72"/>
          <w:szCs w:val="72"/>
        </w:rPr>
      </w:pPr>
    </w:p>
    <w:p w:rsidR="00CC6372" w:rsidRDefault="00B54BFB" w:rsidP="003A09B6">
      <w:pPr>
        <w:ind w:left="360"/>
        <w:jc w:val="center"/>
        <w:rPr>
          <w:rFonts w:cs="Calibri"/>
          <w:b/>
          <w:sz w:val="72"/>
          <w:szCs w:val="72"/>
        </w:rPr>
      </w:pPr>
      <w:r>
        <w:rPr>
          <w:rFonts w:cs="Calibri"/>
          <w:b/>
          <w:sz w:val="72"/>
          <w:szCs w:val="72"/>
        </w:rPr>
        <w:t>GODIŠNJI</w:t>
      </w:r>
      <w:r w:rsidR="00CC6372">
        <w:rPr>
          <w:rFonts w:cs="Calibri"/>
          <w:b/>
          <w:sz w:val="72"/>
          <w:szCs w:val="72"/>
        </w:rPr>
        <w:t xml:space="preserve"> PLAN POSLOVANJA</w:t>
      </w:r>
      <w:r w:rsidR="009D0BA8">
        <w:rPr>
          <w:rFonts w:cs="Calibri"/>
          <w:b/>
          <w:sz w:val="72"/>
          <w:szCs w:val="72"/>
        </w:rPr>
        <w:t xml:space="preserve"> </w:t>
      </w:r>
      <w:r w:rsidR="00CC6372">
        <w:rPr>
          <w:rFonts w:cs="Calibri"/>
          <w:b/>
          <w:sz w:val="72"/>
          <w:szCs w:val="72"/>
        </w:rPr>
        <w:t xml:space="preserve">HRVATSKE LUTRIJE </w:t>
      </w:r>
      <w:r w:rsidR="009467EE">
        <w:rPr>
          <w:rFonts w:cs="Calibri"/>
          <w:b/>
          <w:sz w:val="72"/>
          <w:szCs w:val="72"/>
        </w:rPr>
        <w:t>d.o.o.</w:t>
      </w:r>
    </w:p>
    <w:p w:rsidR="009D0BA8" w:rsidRDefault="00FB4981" w:rsidP="003A09B6">
      <w:pPr>
        <w:ind w:left="360"/>
        <w:jc w:val="center"/>
        <w:rPr>
          <w:rFonts w:cs="Calibri"/>
          <w:b/>
          <w:sz w:val="72"/>
          <w:szCs w:val="72"/>
        </w:rPr>
      </w:pPr>
      <w:r>
        <w:rPr>
          <w:rFonts w:cs="Calibri"/>
          <w:b/>
          <w:sz w:val="72"/>
          <w:szCs w:val="72"/>
        </w:rPr>
        <w:t>ZA 2019</w:t>
      </w:r>
      <w:r w:rsidR="00CC6372">
        <w:rPr>
          <w:rFonts w:cs="Calibri"/>
          <w:b/>
          <w:sz w:val="72"/>
          <w:szCs w:val="72"/>
        </w:rPr>
        <w:t>. GODINU</w:t>
      </w:r>
    </w:p>
    <w:p w:rsidR="003A09B6" w:rsidRPr="000B5B60" w:rsidRDefault="0069367A" w:rsidP="000B5B60">
      <w:pPr>
        <w:pStyle w:val="ListParagraph"/>
        <w:jc w:val="center"/>
        <w:rPr>
          <w:rFonts w:cs="Calibri"/>
          <w:sz w:val="40"/>
          <w:szCs w:val="40"/>
        </w:rPr>
      </w:pPr>
      <w:r>
        <w:rPr>
          <w:rFonts w:cs="Calibri"/>
          <w:sz w:val="40"/>
          <w:szCs w:val="40"/>
        </w:rPr>
        <w:t>PRIJEDLOG</w:t>
      </w:r>
    </w:p>
    <w:p w:rsidR="003A09B6" w:rsidRDefault="003A09B6" w:rsidP="003A09B6">
      <w:pPr>
        <w:ind w:left="360"/>
        <w:jc w:val="center"/>
        <w:rPr>
          <w:rFonts w:ascii="Tahoma" w:hAnsi="Tahoma" w:cs="Tahoma"/>
          <w:b/>
          <w:sz w:val="36"/>
          <w:szCs w:val="36"/>
        </w:rPr>
      </w:pPr>
    </w:p>
    <w:p w:rsidR="003A09B6" w:rsidRDefault="003A09B6" w:rsidP="003A09B6">
      <w:pPr>
        <w:ind w:left="360"/>
        <w:jc w:val="center"/>
        <w:rPr>
          <w:rFonts w:ascii="Tahoma" w:hAnsi="Tahoma" w:cs="Tahoma"/>
          <w:b/>
          <w:sz w:val="36"/>
          <w:szCs w:val="36"/>
        </w:rPr>
      </w:pPr>
    </w:p>
    <w:p w:rsidR="009D0BA8" w:rsidRDefault="009D0BA8" w:rsidP="003A09B6">
      <w:pPr>
        <w:ind w:left="360"/>
        <w:rPr>
          <w:rFonts w:ascii="Tahoma" w:hAnsi="Tahoma" w:cs="Tahoma"/>
          <w:b/>
          <w:sz w:val="28"/>
          <w:szCs w:val="28"/>
        </w:rPr>
      </w:pPr>
    </w:p>
    <w:p w:rsidR="00034C40" w:rsidRDefault="00034C40" w:rsidP="003A09B6">
      <w:pPr>
        <w:ind w:left="360"/>
        <w:rPr>
          <w:rFonts w:ascii="Tahoma" w:hAnsi="Tahoma" w:cs="Tahoma"/>
          <w:b/>
          <w:sz w:val="28"/>
          <w:szCs w:val="28"/>
        </w:rPr>
      </w:pPr>
    </w:p>
    <w:p w:rsidR="00034C40" w:rsidRDefault="00034C40" w:rsidP="003A09B6">
      <w:pPr>
        <w:ind w:left="360"/>
        <w:rPr>
          <w:rFonts w:ascii="Tahoma" w:hAnsi="Tahoma" w:cs="Tahoma"/>
          <w:b/>
          <w:sz w:val="28"/>
          <w:szCs w:val="28"/>
        </w:rPr>
      </w:pPr>
    </w:p>
    <w:p w:rsidR="00DD604F" w:rsidRDefault="00DD604F" w:rsidP="003A09B6">
      <w:pPr>
        <w:ind w:left="360"/>
        <w:rPr>
          <w:rFonts w:ascii="Tahoma" w:hAnsi="Tahoma" w:cs="Tahoma"/>
          <w:b/>
          <w:sz w:val="28"/>
          <w:szCs w:val="28"/>
        </w:rPr>
      </w:pPr>
    </w:p>
    <w:p w:rsidR="0090325C" w:rsidRDefault="0090325C" w:rsidP="003A09B6">
      <w:pPr>
        <w:ind w:left="360"/>
        <w:rPr>
          <w:rFonts w:ascii="Tahoma" w:hAnsi="Tahoma" w:cs="Tahoma"/>
          <w:b/>
          <w:sz w:val="28"/>
          <w:szCs w:val="28"/>
        </w:rPr>
      </w:pPr>
    </w:p>
    <w:p w:rsidR="00174A1D" w:rsidRDefault="00174A1D" w:rsidP="00B91876">
      <w:pPr>
        <w:rPr>
          <w:rFonts w:ascii="Tahoma" w:hAnsi="Tahoma" w:cs="Tahoma"/>
          <w:b/>
          <w:sz w:val="28"/>
          <w:szCs w:val="28"/>
        </w:rPr>
      </w:pPr>
    </w:p>
    <w:p w:rsidR="000B5B60" w:rsidRDefault="000B5B60" w:rsidP="00B91876">
      <w:pPr>
        <w:rPr>
          <w:rFonts w:ascii="Tahoma" w:hAnsi="Tahoma" w:cs="Tahoma"/>
          <w:b/>
          <w:sz w:val="28"/>
          <w:szCs w:val="28"/>
        </w:rPr>
      </w:pPr>
    </w:p>
    <w:p w:rsidR="00600A9C" w:rsidRDefault="00600A9C" w:rsidP="00B91876">
      <w:pPr>
        <w:rPr>
          <w:rFonts w:cs="Calibri"/>
        </w:rPr>
      </w:pPr>
      <w:r>
        <w:rPr>
          <w:rFonts w:cs="Calibri"/>
        </w:rPr>
        <w:t>Sadržaj:</w:t>
      </w:r>
    </w:p>
    <w:p w:rsidR="00794197" w:rsidRDefault="003A09B6">
      <w:pPr>
        <w:pStyle w:val="TOC1"/>
        <w:rPr>
          <w:rFonts w:asciiTheme="minorHAnsi" w:eastAsiaTheme="minorEastAsia" w:hAnsiTheme="minorHAnsi" w:cstheme="minorBidi"/>
          <w:b w:val="0"/>
        </w:rPr>
      </w:pPr>
      <w:r w:rsidRPr="00E03894">
        <w:rPr>
          <w:b w:val="0"/>
        </w:rPr>
        <w:fldChar w:fldCharType="begin"/>
      </w:r>
      <w:r w:rsidRPr="005335A4">
        <w:rPr>
          <w:b w:val="0"/>
        </w:rPr>
        <w:instrText xml:space="preserve"> TOC \o "1-3" \h \z \u </w:instrText>
      </w:r>
      <w:r w:rsidRPr="00E03894">
        <w:rPr>
          <w:b w:val="0"/>
        </w:rPr>
        <w:fldChar w:fldCharType="separate"/>
      </w:r>
      <w:hyperlink w:anchor="_Toc532299605" w:history="1">
        <w:r w:rsidR="00794197" w:rsidRPr="00C2639C">
          <w:rPr>
            <w:rStyle w:val="Hyperlink"/>
          </w:rPr>
          <w:t>1.</w:t>
        </w:r>
        <w:r w:rsidR="00794197">
          <w:rPr>
            <w:rFonts w:asciiTheme="minorHAnsi" w:eastAsiaTheme="minorEastAsia" w:hAnsiTheme="minorHAnsi" w:cstheme="minorBidi"/>
            <w:b w:val="0"/>
          </w:rPr>
          <w:tab/>
        </w:r>
        <w:r w:rsidR="00794197" w:rsidRPr="00C2639C">
          <w:rPr>
            <w:rStyle w:val="Hyperlink"/>
          </w:rPr>
          <w:t>UVOD</w:t>
        </w:r>
        <w:r w:rsidR="00794197">
          <w:rPr>
            <w:webHidden/>
          </w:rPr>
          <w:tab/>
        </w:r>
        <w:r w:rsidR="00794197">
          <w:rPr>
            <w:webHidden/>
          </w:rPr>
          <w:fldChar w:fldCharType="begin"/>
        </w:r>
        <w:r w:rsidR="00794197">
          <w:rPr>
            <w:webHidden/>
          </w:rPr>
          <w:instrText xml:space="preserve"> PAGEREF _Toc532299605 \h </w:instrText>
        </w:r>
        <w:r w:rsidR="00794197">
          <w:rPr>
            <w:webHidden/>
          </w:rPr>
        </w:r>
        <w:r w:rsidR="00794197">
          <w:rPr>
            <w:webHidden/>
          </w:rPr>
          <w:fldChar w:fldCharType="separate"/>
        </w:r>
        <w:r w:rsidR="00794197">
          <w:rPr>
            <w:webHidden/>
          </w:rPr>
          <w:t>- 4 -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06" w:history="1">
        <w:r w:rsidR="00794197" w:rsidRPr="00C2639C">
          <w:rPr>
            <w:rStyle w:val="Hyperlink"/>
          </w:rPr>
          <w:t>2.</w:t>
        </w:r>
        <w:r w:rsidR="00794197">
          <w:rPr>
            <w:rFonts w:asciiTheme="minorHAnsi" w:eastAsiaTheme="minorEastAsia" w:hAnsiTheme="minorHAnsi" w:cstheme="minorBidi"/>
            <w:b w:val="0"/>
          </w:rPr>
          <w:tab/>
        </w:r>
        <w:r w:rsidR="00794197" w:rsidRPr="00C2639C">
          <w:rPr>
            <w:rStyle w:val="Hyperlink"/>
          </w:rPr>
          <w:t>PREGLED STRATEŠKOG OKRUŽENJA</w:t>
        </w:r>
        <w:r w:rsidR="00794197">
          <w:rPr>
            <w:webHidden/>
          </w:rPr>
          <w:tab/>
        </w:r>
        <w:r w:rsidR="00794197">
          <w:rPr>
            <w:webHidden/>
          </w:rPr>
          <w:fldChar w:fldCharType="begin"/>
        </w:r>
        <w:r w:rsidR="00794197">
          <w:rPr>
            <w:webHidden/>
          </w:rPr>
          <w:instrText xml:space="preserve"> PAGEREF _Toc532299606 \h </w:instrText>
        </w:r>
        <w:r w:rsidR="00794197">
          <w:rPr>
            <w:webHidden/>
          </w:rPr>
        </w:r>
        <w:r w:rsidR="00794197">
          <w:rPr>
            <w:webHidden/>
          </w:rPr>
          <w:fldChar w:fldCharType="separate"/>
        </w:r>
        <w:r w:rsidR="00794197">
          <w:rPr>
            <w:webHidden/>
          </w:rPr>
          <w:t>- 6 -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07" w:history="1">
        <w:r w:rsidR="00794197" w:rsidRPr="00C2639C">
          <w:rPr>
            <w:rStyle w:val="Hyperlink"/>
          </w:rPr>
          <w:t>2.1.</w:t>
        </w:r>
        <w:r w:rsidR="00794197">
          <w:rPr>
            <w:rFonts w:asciiTheme="minorHAnsi" w:eastAsiaTheme="minorEastAsia" w:hAnsiTheme="minorHAnsi" w:cstheme="minorBidi"/>
            <w:b w:val="0"/>
          </w:rPr>
          <w:tab/>
        </w:r>
        <w:r w:rsidR="00794197" w:rsidRPr="00C2639C">
          <w:rPr>
            <w:rStyle w:val="Hyperlink"/>
          </w:rPr>
          <w:t>Analiza tržišta i konkurencije</w:t>
        </w:r>
        <w:r w:rsidR="00794197">
          <w:rPr>
            <w:webHidden/>
          </w:rPr>
          <w:tab/>
        </w:r>
        <w:r w:rsidR="00794197">
          <w:rPr>
            <w:webHidden/>
          </w:rPr>
          <w:fldChar w:fldCharType="begin"/>
        </w:r>
        <w:r w:rsidR="00794197">
          <w:rPr>
            <w:webHidden/>
          </w:rPr>
          <w:instrText xml:space="preserve"> PAGEREF _Toc532299607 \h </w:instrText>
        </w:r>
        <w:r w:rsidR="00794197">
          <w:rPr>
            <w:webHidden/>
          </w:rPr>
        </w:r>
        <w:r w:rsidR="00794197">
          <w:rPr>
            <w:webHidden/>
          </w:rPr>
          <w:fldChar w:fldCharType="separate"/>
        </w:r>
        <w:r w:rsidR="00794197">
          <w:rPr>
            <w:webHidden/>
          </w:rPr>
          <w:t>- 6 -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08" w:history="1">
        <w:r w:rsidR="00794197" w:rsidRPr="00C2639C">
          <w:rPr>
            <w:rStyle w:val="Hyperlink"/>
          </w:rPr>
          <w:t>2.2.</w:t>
        </w:r>
        <w:r w:rsidR="00794197">
          <w:rPr>
            <w:rFonts w:asciiTheme="minorHAnsi" w:eastAsiaTheme="minorEastAsia" w:hAnsiTheme="minorHAnsi" w:cstheme="minorBidi"/>
            <w:b w:val="0"/>
          </w:rPr>
          <w:tab/>
        </w:r>
        <w:r w:rsidR="00794197" w:rsidRPr="00C2639C">
          <w:rPr>
            <w:rStyle w:val="Hyperlink"/>
          </w:rPr>
          <w:t>Analiza strateških rizika</w:t>
        </w:r>
        <w:r w:rsidR="00794197">
          <w:rPr>
            <w:webHidden/>
          </w:rPr>
          <w:tab/>
        </w:r>
        <w:r w:rsidR="00794197">
          <w:rPr>
            <w:webHidden/>
          </w:rPr>
          <w:fldChar w:fldCharType="begin"/>
        </w:r>
        <w:r w:rsidR="00794197">
          <w:rPr>
            <w:webHidden/>
          </w:rPr>
          <w:instrText xml:space="preserve"> PAGEREF _Toc532299608 \h </w:instrText>
        </w:r>
        <w:r w:rsidR="00794197">
          <w:rPr>
            <w:webHidden/>
          </w:rPr>
        </w:r>
        <w:r w:rsidR="00794197">
          <w:rPr>
            <w:webHidden/>
          </w:rPr>
          <w:fldChar w:fldCharType="separate"/>
        </w:r>
        <w:r w:rsidR="00794197">
          <w:rPr>
            <w:webHidden/>
          </w:rPr>
          <w:t>- 10 -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09" w:history="1">
        <w:r w:rsidR="00794197" w:rsidRPr="00C2639C">
          <w:rPr>
            <w:rStyle w:val="Hyperlink"/>
          </w:rPr>
          <w:t>2.3.</w:t>
        </w:r>
        <w:r w:rsidR="00794197">
          <w:rPr>
            <w:rFonts w:asciiTheme="minorHAnsi" w:eastAsiaTheme="minorEastAsia" w:hAnsiTheme="minorHAnsi" w:cstheme="minorBidi"/>
            <w:b w:val="0"/>
          </w:rPr>
          <w:tab/>
        </w:r>
        <w:r w:rsidR="00794197" w:rsidRPr="00C2639C">
          <w:rPr>
            <w:rStyle w:val="Hyperlink"/>
          </w:rPr>
          <w:t>Analiza tehnologije i tehnoloških trendova</w:t>
        </w:r>
        <w:r w:rsidR="00794197">
          <w:rPr>
            <w:webHidden/>
          </w:rPr>
          <w:tab/>
        </w:r>
        <w:r w:rsidR="00794197">
          <w:rPr>
            <w:webHidden/>
          </w:rPr>
          <w:fldChar w:fldCharType="begin"/>
        </w:r>
        <w:r w:rsidR="00794197">
          <w:rPr>
            <w:webHidden/>
          </w:rPr>
          <w:instrText xml:space="preserve"> PAGEREF _Toc532299609 \h </w:instrText>
        </w:r>
        <w:r w:rsidR="00794197">
          <w:rPr>
            <w:webHidden/>
          </w:rPr>
        </w:r>
        <w:r w:rsidR="00794197">
          <w:rPr>
            <w:webHidden/>
          </w:rPr>
          <w:fldChar w:fldCharType="separate"/>
        </w:r>
        <w:r w:rsidR="00794197">
          <w:rPr>
            <w:webHidden/>
          </w:rPr>
          <w:t>- 11 -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10" w:history="1">
        <w:r w:rsidR="00794197" w:rsidRPr="00C2639C">
          <w:rPr>
            <w:rStyle w:val="Hyperlink"/>
          </w:rPr>
          <w:t>2.4.</w:t>
        </w:r>
        <w:r w:rsidR="00794197">
          <w:rPr>
            <w:rFonts w:asciiTheme="minorHAnsi" w:eastAsiaTheme="minorEastAsia" w:hAnsiTheme="minorHAnsi" w:cstheme="minorBidi"/>
            <w:b w:val="0"/>
          </w:rPr>
          <w:tab/>
        </w:r>
        <w:r w:rsidR="00794197" w:rsidRPr="00C2639C">
          <w:rPr>
            <w:rStyle w:val="Hyperlink"/>
          </w:rPr>
          <w:t>Analiza trendova u razvoju proizvoda</w:t>
        </w:r>
        <w:r w:rsidR="00794197">
          <w:rPr>
            <w:webHidden/>
          </w:rPr>
          <w:tab/>
        </w:r>
        <w:r w:rsidR="00794197">
          <w:rPr>
            <w:webHidden/>
          </w:rPr>
          <w:fldChar w:fldCharType="begin"/>
        </w:r>
        <w:r w:rsidR="00794197">
          <w:rPr>
            <w:webHidden/>
          </w:rPr>
          <w:instrText xml:space="preserve"> PAGEREF _Toc532299610 \h </w:instrText>
        </w:r>
        <w:r w:rsidR="00794197">
          <w:rPr>
            <w:webHidden/>
          </w:rPr>
        </w:r>
        <w:r w:rsidR="00794197">
          <w:rPr>
            <w:webHidden/>
          </w:rPr>
          <w:fldChar w:fldCharType="separate"/>
        </w:r>
        <w:r w:rsidR="00794197">
          <w:rPr>
            <w:webHidden/>
          </w:rPr>
          <w:t>- 12 -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11" w:history="1">
        <w:r w:rsidR="00794197" w:rsidRPr="00C2639C">
          <w:rPr>
            <w:rStyle w:val="Hyperlink"/>
          </w:rPr>
          <w:t>3.</w:t>
        </w:r>
        <w:r w:rsidR="00794197">
          <w:rPr>
            <w:rFonts w:asciiTheme="minorHAnsi" w:eastAsiaTheme="minorEastAsia" w:hAnsiTheme="minorHAnsi" w:cstheme="minorBidi"/>
            <w:b w:val="0"/>
          </w:rPr>
          <w:tab/>
        </w:r>
        <w:r w:rsidR="00794197" w:rsidRPr="00C2639C">
          <w:rPr>
            <w:rStyle w:val="Hyperlink"/>
          </w:rPr>
          <w:t>STRATEŠKE INICIJATIVE</w:t>
        </w:r>
        <w:r w:rsidR="00794197">
          <w:rPr>
            <w:webHidden/>
          </w:rPr>
          <w:tab/>
        </w:r>
        <w:r w:rsidR="00794197">
          <w:rPr>
            <w:webHidden/>
          </w:rPr>
          <w:fldChar w:fldCharType="begin"/>
        </w:r>
        <w:r w:rsidR="00794197">
          <w:rPr>
            <w:webHidden/>
          </w:rPr>
          <w:instrText xml:space="preserve"> PAGEREF _Toc532299611 \h </w:instrText>
        </w:r>
        <w:r w:rsidR="00794197">
          <w:rPr>
            <w:webHidden/>
          </w:rPr>
        </w:r>
        <w:r w:rsidR="00794197">
          <w:rPr>
            <w:webHidden/>
          </w:rPr>
          <w:fldChar w:fldCharType="separate"/>
        </w:r>
        <w:r w:rsidR="00794197">
          <w:rPr>
            <w:webHidden/>
          </w:rPr>
          <w:t>- 14 -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12" w:history="1">
        <w:r w:rsidR="00794197" w:rsidRPr="00C2639C">
          <w:rPr>
            <w:rStyle w:val="Hyperlink"/>
          </w:rPr>
          <w:t>3.1.</w:t>
        </w:r>
        <w:r w:rsidR="00794197">
          <w:rPr>
            <w:rFonts w:asciiTheme="minorHAnsi" w:eastAsiaTheme="minorEastAsia" w:hAnsiTheme="minorHAnsi" w:cstheme="minorBidi"/>
            <w:b w:val="0"/>
          </w:rPr>
          <w:tab/>
        </w:r>
        <w:r w:rsidR="00794197" w:rsidRPr="00C2639C">
          <w:rPr>
            <w:rStyle w:val="Hyperlink"/>
          </w:rPr>
          <w:t>STRATEŠKI CILJEVI ZA 2019. GODINU I AKTIVNOSTI ZA OSTVARENJE ISTIH</w:t>
        </w:r>
        <w:r w:rsidR="00794197">
          <w:rPr>
            <w:webHidden/>
          </w:rPr>
          <w:tab/>
        </w:r>
        <w:r w:rsidR="00794197">
          <w:rPr>
            <w:webHidden/>
          </w:rPr>
          <w:fldChar w:fldCharType="begin"/>
        </w:r>
        <w:r w:rsidR="00794197">
          <w:rPr>
            <w:webHidden/>
          </w:rPr>
          <w:instrText xml:space="preserve"> PAGEREF _Toc532299612 \h </w:instrText>
        </w:r>
        <w:r w:rsidR="00794197">
          <w:rPr>
            <w:webHidden/>
          </w:rPr>
        </w:r>
        <w:r w:rsidR="00794197">
          <w:rPr>
            <w:webHidden/>
          </w:rPr>
          <w:fldChar w:fldCharType="separate"/>
        </w:r>
        <w:r w:rsidR="00794197">
          <w:rPr>
            <w:webHidden/>
          </w:rPr>
          <w:t>- 14 -</w:t>
        </w:r>
        <w:r w:rsidR="00794197">
          <w:rPr>
            <w:webHidden/>
          </w:rPr>
          <w:fldChar w:fldCharType="end"/>
        </w:r>
      </w:hyperlink>
    </w:p>
    <w:p w:rsidR="00794197" w:rsidRDefault="00F265D6">
      <w:pPr>
        <w:pStyle w:val="TOC1"/>
        <w:tabs>
          <w:tab w:val="left" w:pos="880"/>
        </w:tabs>
        <w:rPr>
          <w:rFonts w:asciiTheme="minorHAnsi" w:eastAsiaTheme="minorEastAsia" w:hAnsiTheme="minorHAnsi" w:cstheme="minorBidi"/>
          <w:b w:val="0"/>
        </w:rPr>
      </w:pPr>
      <w:hyperlink w:anchor="_Toc532299613" w:history="1">
        <w:r w:rsidR="00794197" w:rsidRPr="00C2639C">
          <w:rPr>
            <w:rStyle w:val="Hyperlink"/>
          </w:rPr>
          <w:t>3.1.1.</w:t>
        </w:r>
        <w:r w:rsidR="00794197">
          <w:rPr>
            <w:rFonts w:asciiTheme="minorHAnsi" w:eastAsiaTheme="minorEastAsia" w:hAnsiTheme="minorHAnsi" w:cstheme="minorBidi"/>
            <w:b w:val="0"/>
          </w:rPr>
          <w:tab/>
        </w:r>
        <w:r w:rsidR="00794197" w:rsidRPr="00C2639C">
          <w:rPr>
            <w:rStyle w:val="Hyperlink"/>
          </w:rPr>
          <w:t>Upravljanje igračima</w:t>
        </w:r>
        <w:r w:rsidR="00794197">
          <w:rPr>
            <w:webHidden/>
          </w:rPr>
          <w:tab/>
        </w:r>
        <w:r w:rsidR="00794197">
          <w:rPr>
            <w:webHidden/>
          </w:rPr>
          <w:fldChar w:fldCharType="begin"/>
        </w:r>
        <w:r w:rsidR="00794197">
          <w:rPr>
            <w:webHidden/>
          </w:rPr>
          <w:instrText xml:space="preserve"> PAGEREF _Toc532299613 \h </w:instrText>
        </w:r>
        <w:r w:rsidR="00794197">
          <w:rPr>
            <w:webHidden/>
          </w:rPr>
        </w:r>
        <w:r w:rsidR="00794197">
          <w:rPr>
            <w:webHidden/>
          </w:rPr>
          <w:fldChar w:fldCharType="separate"/>
        </w:r>
        <w:r w:rsidR="00794197">
          <w:rPr>
            <w:webHidden/>
          </w:rPr>
          <w:t>- 14 -</w:t>
        </w:r>
        <w:r w:rsidR="00794197">
          <w:rPr>
            <w:webHidden/>
          </w:rPr>
          <w:fldChar w:fldCharType="end"/>
        </w:r>
      </w:hyperlink>
    </w:p>
    <w:p w:rsidR="00794197" w:rsidRDefault="00F265D6">
      <w:pPr>
        <w:pStyle w:val="TOC1"/>
        <w:tabs>
          <w:tab w:val="left" w:pos="880"/>
        </w:tabs>
        <w:rPr>
          <w:rFonts w:asciiTheme="minorHAnsi" w:eastAsiaTheme="minorEastAsia" w:hAnsiTheme="minorHAnsi" w:cstheme="minorBidi"/>
          <w:b w:val="0"/>
        </w:rPr>
      </w:pPr>
      <w:hyperlink w:anchor="_Toc532299614" w:history="1">
        <w:r w:rsidR="00794197" w:rsidRPr="00C2639C">
          <w:rPr>
            <w:rStyle w:val="Hyperlink"/>
          </w:rPr>
          <w:t>3.1.2.</w:t>
        </w:r>
        <w:r w:rsidR="00794197">
          <w:rPr>
            <w:rFonts w:asciiTheme="minorHAnsi" w:eastAsiaTheme="minorEastAsia" w:hAnsiTheme="minorHAnsi" w:cstheme="minorBidi"/>
            <w:b w:val="0"/>
          </w:rPr>
          <w:tab/>
        </w:r>
        <w:r w:rsidR="00794197" w:rsidRPr="00C2639C">
          <w:rPr>
            <w:rStyle w:val="Hyperlink"/>
          </w:rPr>
          <w:t>Modernizacija portfelja igara</w:t>
        </w:r>
        <w:r w:rsidR="00794197">
          <w:rPr>
            <w:webHidden/>
          </w:rPr>
          <w:tab/>
        </w:r>
        <w:r w:rsidR="00794197">
          <w:rPr>
            <w:webHidden/>
          </w:rPr>
          <w:fldChar w:fldCharType="begin"/>
        </w:r>
        <w:r w:rsidR="00794197">
          <w:rPr>
            <w:webHidden/>
          </w:rPr>
          <w:instrText xml:space="preserve"> PAGEREF _Toc532299614 \h </w:instrText>
        </w:r>
        <w:r w:rsidR="00794197">
          <w:rPr>
            <w:webHidden/>
          </w:rPr>
        </w:r>
        <w:r w:rsidR="00794197">
          <w:rPr>
            <w:webHidden/>
          </w:rPr>
          <w:fldChar w:fldCharType="separate"/>
        </w:r>
        <w:r w:rsidR="00794197">
          <w:rPr>
            <w:webHidden/>
          </w:rPr>
          <w:t>- 15 -</w:t>
        </w:r>
        <w:r w:rsidR="00794197">
          <w:rPr>
            <w:webHidden/>
          </w:rPr>
          <w:fldChar w:fldCharType="end"/>
        </w:r>
      </w:hyperlink>
    </w:p>
    <w:p w:rsidR="00794197" w:rsidRDefault="00F265D6">
      <w:pPr>
        <w:pStyle w:val="TOC1"/>
        <w:tabs>
          <w:tab w:val="left" w:pos="880"/>
        </w:tabs>
        <w:rPr>
          <w:rFonts w:asciiTheme="minorHAnsi" w:eastAsiaTheme="minorEastAsia" w:hAnsiTheme="minorHAnsi" w:cstheme="minorBidi"/>
          <w:b w:val="0"/>
        </w:rPr>
      </w:pPr>
      <w:hyperlink w:anchor="_Toc532299615" w:history="1">
        <w:r w:rsidR="00794197" w:rsidRPr="00C2639C">
          <w:rPr>
            <w:rStyle w:val="Hyperlink"/>
          </w:rPr>
          <w:t>3.1.3.</w:t>
        </w:r>
        <w:r w:rsidR="00794197">
          <w:rPr>
            <w:rFonts w:asciiTheme="minorHAnsi" w:eastAsiaTheme="minorEastAsia" w:hAnsiTheme="minorHAnsi" w:cstheme="minorBidi"/>
            <w:b w:val="0"/>
          </w:rPr>
          <w:tab/>
        </w:r>
        <w:r w:rsidR="00794197" w:rsidRPr="00C2639C">
          <w:rPr>
            <w:rStyle w:val="Hyperlink"/>
          </w:rPr>
          <w:t>Prodaja 2022.</w:t>
        </w:r>
        <w:r w:rsidR="00794197">
          <w:rPr>
            <w:webHidden/>
          </w:rPr>
          <w:tab/>
        </w:r>
        <w:r w:rsidR="00794197">
          <w:rPr>
            <w:webHidden/>
          </w:rPr>
          <w:fldChar w:fldCharType="begin"/>
        </w:r>
        <w:r w:rsidR="00794197">
          <w:rPr>
            <w:webHidden/>
          </w:rPr>
          <w:instrText xml:space="preserve"> PAGEREF _Toc532299615 \h </w:instrText>
        </w:r>
        <w:r w:rsidR="00794197">
          <w:rPr>
            <w:webHidden/>
          </w:rPr>
        </w:r>
        <w:r w:rsidR="00794197">
          <w:rPr>
            <w:webHidden/>
          </w:rPr>
          <w:fldChar w:fldCharType="separate"/>
        </w:r>
        <w:r w:rsidR="00794197">
          <w:rPr>
            <w:webHidden/>
          </w:rPr>
          <w:t>- 16 -</w:t>
        </w:r>
        <w:r w:rsidR="00794197">
          <w:rPr>
            <w:webHidden/>
          </w:rPr>
          <w:fldChar w:fldCharType="end"/>
        </w:r>
      </w:hyperlink>
    </w:p>
    <w:p w:rsidR="00794197" w:rsidRDefault="00F265D6">
      <w:pPr>
        <w:pStyle w:val="TOC1"/>
        <w:tabs>
          <w:tab w:val="left" w:pos="880"/>
        </w:tabs>
        <w:rPr>
          <w:rFonts w:asciiTheme="minorHAnsi" w:eastAsiaTheme="minorEastAsia" w:hAnsiTheme="minorHAnsi" w:cstheme="minorBidi"/>
          <w:b w:val="0"/>
        </w:rPr>
      </w:pPr>
      <w:hyperlink w:anchor="_Toc532299616" w:history="1">
        <w:r w:rsidR="00794197" w:rsidRPr="00C2639C">
          <w:rPr>
            <w:rStyle w:val="Hyperlink"/>
          </w:rPr>
          <w:t>3.1.4.</w:t>
        </w:r>
        <w:r w:rsidR="00794197">
          <w:rPr>
            <w:rFonts w:asciiTheme="minorHAnsi" w:eastAsiaTheme="minorEastAsia" w:hAnsiTheme="minorHAnsi" w:cstheme="minorBidi"/>
            <w:b w:val="0"/>
          </w:rPr>
          <w:tab/>
        </w:r>
        <w:r w:rsidR="00794197" w:rsidRPr="00C2639C">
          <w:rPr>
            <w:rStyle w:val="Hyperlink"/>
          </w:rPr>
          <w:t>Unaprjeđenje upravljanja ljudskim potencijalima</w:t>
        </w:r>
        <w:r w:rsidR="00794197">
          <w:rPr>
            <w:webHidden/>
          </w:rPr>
          <w:tab/>
        </w:r>
        <w:r w:rsidR="00794197">
          <w:rPr>
            <w:webHidden/>
          </w:rPr>
          <w:fldChar w:fldCharType="begin"/>
        </w:r>
        <w:r w:rsidR="00794197">
          <w:rPr>
            <w:webHidden/>
          </w:rPr>
          <w:instrText xml:space="preserve"> PAGEREF _Toc532299616 \h </w:instrText>
        </w:r>
        <w:r w:rsidR="00794197">
          <w:rPr>
            <w:webHidden/>
          </w:rPr>
        </w:r>
        <w:r w:rsidR="00794197">
          <w:rPr>
            <w:webHidden/>
          </w:rPr>
          <w:fldChar w:fldCharType="separate"/>
        </w:r>
        <w:r w:rsidR="00794197">
          <w:rPr>
            <w:webHidden/>
          </w:rPr>
          <w:t>- 17 -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17" w:history="1">
        <w:r w:rsidR="00794197" w:rsidRPr="00C2639C">
          <w:rPr>
            <w:rStyle w:val="Hyperlink"/>
          </w:rPr>
          <w:t>4.</w:t>
        </w:r>
        <w:r w:rsidR="00794197">
          <w:rPr>
            <w:rFonts w:asciiTheme="minorHAnsi" w:eastAsiaTheme="minorEastAsia" w:hAnsiTheme="minorHAnsi" w:cstheme="minorBidi"/>
            <w:b w:val="0"/>
          </w:rPr>
          <w:tab/>
        </w:r>
        <w:r w:rsidR="00794197" w:rsidRPr="00C2639C">
          <w:rPr>
            <w:rStyle w:val="Hyperlink"/>
          </w:rPr>
          <w:t>OPERATIVNI CILJEVI ZA 2019. GODINU TE AKTIVNOSTI ZA OSTVARENJE ISTIH</w:t>
        </w:r>
        <w:r w:rsidR="00794197">
          <w:rPr>
            <w:webHidden/>
          </w:rPr>
          <w:tab/>
        </w:r>
        <w:r w:rsidR="00794197">
          <w:rPr>
            <w:webHidden/>
          </w:rPr>
          <w:fldChar w:fldCharType="begin"/>
        </w:r>
        <w:r w:rsidR="00794197">
          <w:rPr>
            <w:webHidden/>
          </w:rPr>
          <w:instrText xml:space="preserve"> PAGEREF _Toc532299617 \h </w:instrText>
        </w:r>
        <w:r w:rsidR="00794197">
          <w:rPr>
            <w:webHidden/>
          </w:rPr>
        </w:r>
        <w:r w:rsidR="00794197">
          <w:rPr>
            <w:webHidden/>
          </w:rPr>
          <w:fldChar w:fldCharType="separate"/>
        </w:r>
        <w:r w:rsidR="00794197">
          <w:rPr>
            <w:webHidden/>
          </w:rPr>
          <w:t>- 19 -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18" w:history="1">
        <w:r w:rsidR="00794197" w:rsidRPr="00C2639C">
          <w:rPr>
            <w:rStyle w:val="Hyperlink"/>
          </w:rPr>
          <w:t>4.1.</w:t>
        </w:r>
        <w:r w:rsidR="00794197">
          <w:rPr>
            <w:rFonts w:asciiTheme="minorHAnsi" w:eastAsiaTheme="minorEastAsia" w:hAnsiTheme="minorHAnsi" w:cstheme="minorBidi"/>
            <w:b w:val="0"/>
          </w:rPr>
          <w:tab/>
        </w:r>
        <w:r w:rsidR="00794197" w:rsidRPr="00C2639C">
          <w:rPr>
            <w:rStyle w:val="Hyperlink"/>
          </w:rPr>
          <w:t>Ostvarenje planiranih prometa i prihoda</w:t>
        </w:r>
        <w:r w:rsidR="00794197">
          <w:rPr>
            <w:webHidden/>
          </w:rPr>
          <w:tab/>
        </w:r>
        <w:r w:rsidR="00794197">
          <w:rPr>
            <w:webHidden/>
          </w:rPr>
          <w:fldChar w:fldCharType="begin"/>
        </w:r>
        <w:r w:rsidR="00794197">
          <w:rPr>
            <w:webHidden/>
          </w:rPr>
          <w:instrText xml:space="preserve"> PAGEREF _Toc532299618 \h </w:instrText>
        </w:r>
        <w:r w:rsidR="00794197">
          <w:rPr>
            <w:webHidden/>
          </w:rPr>
        </w:r>
        <w:r w:rsidR="00794197">
          <w:rPr>
            <w:webHidden/>
          </w:rPr>
          <w:fldChar w:fldCharType="separate"/>
        </w:r>
        <w:r w:rsidR="00794197">
          <w:rPr>
            <w:webHidden/>
          </w:rPr>
          <w:t>- 19 -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19" w:history="1">
        <w:r w:rsidR="00794197" w:rsidRPr="00C2639C">
          <w:rPr>
            <w:rStyle w:val="Hyperlink"/>
          </w:rPr>
          <w:t>4.2.</w:t>
        </w:r>
        <w:r w:rsidR="00794197">
          <w:rPr>
            <w:rFonts w:asciiTheme="minorHAnsi" w:eastAsiaTheme="minorEastAsia" w:hAnsiTheme="minorHAnsi" w:cstheme="minorBidi"/>
            <w:b w:val="0"/>
          </w:rPr>
          <w:tab/>
        </w:r>
        <w:r w:rsidR="00794197" w:rsidRPr="00C2639C">
          <w:rPr>
            <w:rStyle w:val="Hyperlink"/>
          </w:rPr>
          <w:t>Povećanje broja aktivnih igrača te njihove potrošnje</w:t>
        </w:r>
        <w:r w:rsidR="00794197">
          <w:rPr>
            <w:webHidden/>
          </w:rPr>
          <w:tab/>
        </w:r>
        <w:r w:rsidR="00794197">
          <w:rPr>
            <w:webHidden/>
          </w:rPr>
          <w:fldChar w:fldCharType="begin"/>
        </w:r>
        <w:r w:rsidR="00794197">
          <w:rPr>
            <w:webHidden/>
          </w:rPr>
          <w:instrText xml:space="preserve"> PAGEREF _Toc532299619 \h </w:instrText>
        </w:r>
        <w:r w:rsidR="00794197">
          <w:rPr>
            <w:webHidden/>
          </w:rPr>
        </w:r>
        <w:r w:rsidR="00794197">
          <w:rPr>
            <w:webHidden/>
          </w:rPr>
          <w:fldChar w:fldCharType="separate"/>
        </w:r>
        <w:r w:rsidR="00794197">
          <w:rPr>
            <w:webHidden/>
          </w:rPr>
          <w:t>- 20 -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20" w:history="1">
        <w:r w:rsidR="00794197" w:rsidRPr="00C2639C">
          <w:rPr>
            <w:rStyle w:val="Hyperlink"/>
          </w:rPr>
          <w:t>4.3.</w:t>
        </w:r>
        <w:r w:rsidR="00794197">
          <w:rPr>
            <w:rFonts w:asciiTheme="minorHAnsi" w:eastAsiaTheme="minorEastAsia" w:hAnsiTheme="minorHAnsi" w:cstheme="minorBidi"/>
            <w:b w:val="0"/>
          </w:rPr>
          <w:tab/>
        </w:r>
        <w:r w:rsidR="00794197" w:rsidRPr="00C2639C">
          <w:rPr>
            <w:rStyle w:val="Hyperlink"/>
          </w:rPr>
          <w:t>Optimiranje postojećeg portfelja lutrijskih igara na sreću</w:t>
        </w:r>
        <w:r w:rsidR="00794197">
          <w:rPr>
            <w:webHidden/>
          </w:rPr>
          <w:tab/>
        </w:r>
        <w:r w:rsidR="00794197">
          <w:rPr>
            <w:webHidden/>
          </w:rPr>
          <w:fldChar w:fldCharType="begin"/>
        </w:r>
        <w:r w:rsidR="00794197">
          <w:rPr>
            <w:webHidden/>
          </w:rPr>
          <w:instrText xml:space="preserve"> PAGEREF _Toc532299620 \h </w:instrText>
        </w:r>
        <w:r w:rsidR="00794197">
          <w:rPr>
            <w:webHidden/>
          </w:rPr>
        </w:r>
        <w:r w:rsidR="00794197">
          <w:rPr>
            <w:webHidden/>
          </w:rPr>
          <w:fldChar w:fldCharType="separate"/>
        </w:r>
        <w:r w:rsidR="00794197">
          <w:rPr>
            <w:webHidden/>
          </w:rPr>
          <w:t>- 20 -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21" w:history="1">
        <w:r w:rsidR="00794197" w:rsidRPr="00C2639C">
          <w:rPr>
            <w:rStyle w:val="Hyperlink"/>
          </w:rPr>
          <w:t>4.4.</w:t>
        </w:r>
        <w:r w:rsidR="00794197">
          <w:rPr>
            <w:rFonts w:asciiTheme="minorHAnsi" w:eastAsiaTheme="minorEastAsia" w:hAnsiTheme="minorHAnsi" w:cstheme="minorBidi"/>
            <w:b w:val="0"/>
          </w:rPr>
          <w:tab/>
        </w:r>
        <w:r w:rsidR="00794197" w:rsidRPr="00C2639C">
          <w:rPr>
            <w:rStyle w:val="Hyperlink"/>
          </w:rPr>
          <w:t>Povećanje udjela u ukupnom tržištu klađenja</w:t>
        </w:r>
        <w:r w:rsidR="00794197">
          <w:rPr>
            <w:webHidden/>
          </w:rPr>
          <w:tab/>
        </w:r>
        <w:r w:rsidR="00794197">
          <w:rPr>
            <w:webHidden/>
          </w:rPr>
          <w:fldChar w:fldCharType="begin"/>
        </w:r>
        <w:r w:rsidR="00794197">
          <w:rPr>
            <w:webHidden/>
          </w:rPr>
          <w:instrText xml:space="preserve"> PAGEREF _Toc532299621 \h </w:instrText>
        </w:r>
        <w:r w:rsidR="00794197">
          <w:rPr>
            <w:webHidden/>
          </w:rPr>
        </w:r>
        <w:r w:rsidR="00794197">
          <w:rPr>
            <w:webHidden/>
          </w:rPr>
          <w:fldChar w:fldCharType="separate"/>
        </w:r>
        <w:r w:rsidR="00794197">
          <w:rPr>
            <w:webHidden/>
          </w:rPr>
          <w:t>- 21 -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22" w:history="1">
        <w:r w:rsidR="00794197" w:rsidRPr="00C2639C">
          <w:rPr>
            <w:rStyle w:val="Hyperlink"/>
          </w:rPr>
          <w:t>4.5.</w:t>
        </w:r>
        <w:r w:rsidR="00794197">
          <w:rPr>
            <w:rFonts w:asciiTheme="minorHAnsi" w:eastAsiaTheme="minorEastAsia" w:hAnsiTheme="minorHAnsi" w:cstheme="minorBidi"/>
            <w:b w:val="0"/>
          </w:rPr>
          <w:tab/>
        </w:r>
        <w:r w:rsidR="00794197" w:rsidRPr="00C2639C">
          <w:rPr>
            <w:rStyle w:val="Hyperlink"/>
          </w:rPr>
          <w:t>Povećanje/zadržavanje prihoda i udjela u ukupnom tržištu internet casina</w:t>
        </w:r>
        <w:r w:rsidR="00794197">
          <w:rPr>
            <w:webHidden/>
          </w:rPr>
          <w:tab/>
        </w:r>
        <w:r w:rsidR="00794197">
          <w:rPr>
            <w:webHidden/>
          </w:rPr>
          <w:fldChar w:fldCharType="begin"/>
        </w:r>
        <w:r w:rsidR="00794197">
          <w:rPr>
            <w:webHidden/>
          </w:rPr>
          <w:instrText xml:space="preserve"> PAGEREF _Toc532299622 \h </w:instrText>
        </w:r>
        <w:r w:rsidR="00794197">
          <w:rPr>
            <w:webHidden/>
          </w:rPr>
        </w:r>
        <w:r w:rsidR="00794197">
          <w:rPr>
            <w:webHidden/>
          </w:rPr>
          <w:fldChar w:fldCharType="separate"/>
        </w:r>
        <w:r w:rsidR="00794197">
          <w:rPr>
            <w:webHidden/>
          </w:rPr>
          <w:t>- 21 -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23" w:history="1">
        <w:r w:rsidR="00794197" w:rsidRPr="00C2639C">
          <w:rPr>
            <w:rStyle w:val="Hyperlink"/>
          </w:rPr>
          <w:t>4.6.</w:t>
        </w:r>
        <w:r w:rsidR="00794197">
          <w:rPr>
            <w:rFonts w:asciiTheme="minorHAnsi" w:eastAsiaTheme="minorEastAsia" w:hAnsiTheme="minorHAnsi" w:cstheme="minorBidi"/>
            <w:b w:val="0"/>
          </w:rPr>
          <w:tab/>
        </w:r>
        <w:r w:rsidR="00794197" w:rsidRPr="00C2639C">
          <w:rPr>
            <w:rStyle w:val="Hyperlink"/>
          </w:rPr>
          <w:t>Proširenje mreže automat klubova</w:t>
        </w:r>
        <w:r w:rsidR="00794197">
          <w:rPr>
            <w:webHidden/>
          </w:rPr>
          <w:tab/>
        </w:r>
        <w:r w:rsidR="00794197">
          <w:rPr>
            <w:webHidden/>
          </w:rPr>
          <w:fldChar w:fldCharType="begin"/>
        </w:r>
        <w:r w:rsidR="00794197">
          <w:rPr>
            <w:webHidden/>
          </w:rPr>
          <w:instrText xml:space="preserve"> PAGEREF _Toc532299623 \h </w:instrText>
        </w:r>
        <w:r w:rsidR="00794197">
          <w:rPr>
            <w:webHidden/>
          </w:rPr>
        </w:r>
        <w:r w:rsidR="00794197">
          <w:rPr>
            <w:webHidden/>
          </w:rPr>
          <w:fldChar w:fldCharType="separate"/>
        </w:r>
        <w:r w:rsidR="00794197">
          <w:rPr>
            <w:webHidden/>
          </w:rPr>
          <w:t>- 21 -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24" w:history="1">
        <w:r w:rsidR="00794197" w:rsidRPr="00C2639C">
          <w:rPr>
            <w:rStyle w:val="Hyperlink"/>
          </w:rPr>
          <w:t>4.7.</w:t>
        </w:r>
        <w:r w:rsidR="00794197">
          <w:rPr>
            <w:rFonts w:asciiTheme="minorHAnsi" w:eastAsiaTheme="minorEastAsia" w:hAnsiTheme="minorHAnsi" w:cstheme="minorBidi"/>
            <w:b w:val="0"/>
          </w:rPr>
          <w:tab/>
        </w:r>
        <w:r w:rsidR="00794197" w:rsidRPr="00C2639C">
          <w:rPr>
            <w:rStyle w:val="Hyperlink"/>
          </w:rPr>
          <w:t>Jači marketinški fokus u realizaciji projekata iz područja razvoja igara i prodaje</w:t>
        </w:r>
        <w:r w:rsidR="00794197">
          <w:rPr>
            <w:webHidden/>
          </w:rPr>
          <w:tab/>
        </w:r>
        <w:r w:rsidR="00794197">
          <w:rPr>
            <w:webHidden/>
          </w:rPr>
          <w:fldChar w:fldCharType="begin"/>
        </w:r>
        <w:r w:rsidR="00794197">
          <w:rPr>
            <w:webHidden/>
          </w:rPr>
          <w:instrText xml:space="preserve"> PAGEREF _Toc532299624 \h </w:instrText>
        </w:r>
        <w:r w:rsidR="00794197">
          <w:rPr>
            <w:webHidden/>
          </w:rPr>
        </w:r>
        <w:r w:rsidR="00794197">
          <w:rPr>
            <w:webHidden/>
          </w:rPr>
          <w:fldChar w:fldCharType="separate"/>
        </w:r>
        <w:r w:rsidR="00794197">
          <w:rPr>
            <w:webHidden/>
          </w:rPr>
          <w:t>- 22 -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25" w:history="1">
        <w:r w:rsidR="00794197" w:rsidRPr="00C2639C">
          <w:rPr>
            <w:rStyle w:val="Hyperlink"/>
          </w:rPr>
          <w:t>4.8.</w:t>
        </w:r>
        <w:r w:rsidR="00794197">
          <w:rPr>
            <w:rFonts w:asciiTheme="minorHAnsi" w:eastAsiaTheme="minorEastAsia" w:hAnsiTheme="minorHAnsi" w:cstheme="minorBidi"/>
            <w:b w:val="0"/>
          </w:rPr>
          <w:tab/>
        </w:r>
        <w:r w:rsidR="00794197" w:rsidRPr="00C2639C">
          <w:rPr>
            <w:rStyle w:val="Hyperlink"/>
          </w:rPr>
          <w:t>IT modernizacija i podrška kod implementacije poslovnih rješenja</w:t>
        </w:r>
        <w:r w:rsidR="00794197">
          <w:rPr>
            <w:webHidden/>
          </w:rPr>
          <w:tab/>
        </w:r>
        <w:r w:rsidR="00794197">
          <w:rPr>
            <w:webHidden/>
          </w:rPr>
          <w:fldChar w:fldCharType="begin"/>
        </w:r>
        <w:r w:rsidR="00794197">
          <w:rPr>
            <w:webHidden/>
          </w:rPr>
          <w:instrText xml:space="preserve"> PAGEREF _Toc532299625 \h </w:instrText>
        </w:r>
        <w:r w:rsidR="00794197">
          <w:rPr>
            <w:webHidden/>
          </w:rPr>
        </w:r>
        <w:r w:rsidR="00794197">
          <w:rPr>
            <w:webHidden/>
          </w:rPr>
          <w:fldChar w:fldCharType="separate"/>
        </w:r>
        <w:r w:rsidR="00794197">
          <w:rPr>
            <w:webHidden/>
          </w:rPr>
          <w:t>- 23 -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26" w:history="1">
        <w:r w:rsidR="00794197" w:rsidRPr="00C2639C">
          <w:rPr>
            <w:rStyle w:val="Hyperlink"/>
          </w:rPr>
          <w:t>4.9.</w:t>
        </w:r>
        <w:r w:rsidR="00794197">
          <w:rPr>
            <w:rFonts w:asciiTheme="minorHAnsi" w:eastAsiaTheme="minorEastAsia" w:hAnsiTheme="minorHAnsi" w:cstheme="minorBidi"/>
            <w:b w:val="0"/>
          </w:rPr>
          <w:tab/>
        </w:r>
        <w:r w:rsidR="00794197" w:rsidRPr="00C2639C">
          <w:rPr>
            <w:rStyle w:val="Hyperlink"/>
          </w:rPr>
          <w:t>Optimizacija poslovnih procesa</w:t>
        </w:r>
        <w:r w:rsidR="00794197">
          <w:rPr>
            <w:webHidden/>
          </w:rPr>
          <w:tab/>
        </w:r>
        <w:r w:rsidR="00794197">
          <w:rPr>
            <w:webHidden/>
          </w:rPr>
          <w:fldChar w:fldCharType="begin"/>
        </w:r>
        <w:r w:rsidR="00794197">
          <w:rPr>
            <w:webHidden/>
          </w:rPr>
          <w:instrText xml:space="preserve"> PAGEREF _Toc532299626 \h </w:instrText>
        </w:r>
        <w:r w:rsidR="00794197">
          <w:rPr>
            <w:webHidden/>
          </w:rPr>
        </w:r>
        <w:r w:rsidR="00794197">
          <w:rPr>
            <w:webHidden/>
          </w:rPr>
          <w:fldChar w:fldCharType="separate"/>
        </w:r>
        <w:r w:rsidR="00794197">
          <w:rPr>
            <w:webHidden/>
          </w:rPr>
          <w:t>- 24 -</w:t>
        </w:r>
        <w:r w:rsidR="00794197">
          <w:rPr>
            <w:webHidden/>
          </w:rPr>
          <w:fldChar w:fldCharType="end"/>
        </w:r>
      </w:hyperlink>
    </w:p>
    <w:p w:rsidR="00794197" w:rsidRDefault="00F265D6">
      <w:pPr>
        <w:pStyle w:val="TOC1"/>
        <w:tabs>
          <w:tab w:val="left" w:pos="880"/>
        </w:tabs>
        <w:rPr>
          <w:rFonts w:asciiTheme="minorHAnsi" w:eastAsiaTheme="minorEastAsia" w:hAnsiTheme="minorHAnsi" w:cstheme="minorBidi"/>
          <w:b w:val="0"/>
        </w:rPr>
      </w:pPr>
      <w:hyperlink w:anchor="_Toc532299627" w:history="1">
        <w:r w:rsidR="00794197" w:rsidRPr="00C2639C">
          <w:rPr>
            <w:rStyle w:val="Hyperlink"/>
          </w:rPr>
          <w:t>4.10.</w:t>
        </w:r>
        <w:r w:rsidR="00794197">
          <w:rPr>
            <w:rFonts w:asciiTheme="minorHAnsi" w:eastAsiaTheme="minorEastAsia" w:hAnsiTheme="minorHAnsi" w:cstheme="minorBidi"/>
            <w:b w:val="0"/>
          </w:rPr>
          <w:tab/>
        </w:r>
        <w:r w:rsidR="00794197" w:rsidRPr="00C2639C">
          <w:rPr>
            <w:rStyle w:val="Hyperlink"/>
          </w:rPr>
          <w:t>Unaprjeđenje sustava financijskog upravljanja i kontrola</w:t>
        </w:r>
        <w:r w:rsidR="00794197">
          <w:rPr>
            <w:webHidden/>
          </w:rPr>
          <w:tab/>
        </w:r>
        <w:r w:rsidR="00794197">
          <w:rPr>
            <w:webHidden/>
          </w:rPr>
          <w:fldChar w:fldCharType="begin"/>
        </w:r>
        <w:r w:rsidR="00794197">
          <w:rPr>
            <w:webHidden/>
          </w:rPr>
          <w:instrText xml:space="preserve"> PAGEREF _Toc532299627 \h </w:instrText>
        </w:r>
        <w:r w:rsidR="00794197">
          <w:rPr>
            <w:webHidden/>
          </w:rPr>
        </w:r>
        <w:r w:rsidR="00794197">
          <w:rPr>
            <w:webHidden/>
          </w:rPr>
          <w:fldChar w:fldCharType="separate"/>
        </w:r>
        <w:r w:rsidR="00794197">
          <w:rPr>
            <w:webHidden/>
          </w:rPr>
          <w:t>- 24 -</w:t>
        </w:r>
        <w:r w:rsidR="00794197">
          <w:rPr>
            <w:webHidden/>
          </w:rPr>
          <w:fldChar w:fldCharType="end"/>
        </w:r>
      </w:hyperlink>
    </w:p>
    <w:p w:rsidR="00794197" w:rsidRDefault="00F265D6">
      <w:pPr>
        <w:pStyle w:val="TOC1"/>
        <w:tabs>
          <w:tab w:val="left" w:pos="880"/>
        </w:tabs>
        <w:rPr>
          <w:rFonts w:asciiTheme="minorHAnsi" w:eastAsiaTheme="minorEastAsia" w:hAnsiTheme="minorHAnsi" w:cstheme="minorBidi"/>
          <w:b w:val="0"/>
        </w:rPr>
      </w:pPr>
      <w:hyperlink w:anchor="_Toc532299628" w:history="1">
        <w:r w:rsidR="00794197" w:rsidRPr="00C2639C">
          <w:rPr>
            <w:rStyle w:val="Hyperlink"/>
          </w:rPr>
          <w:t>4.11.</w:t>
        </w:r>
        <w:r w:rsidR="00794197">
          <w:rPr>
            <w:rFonts w:asciiTheme="minorHAnsi" w:eastAsiaTheme="minorEastAsia" w:hAnsiTheme="minorHAnsi" w:cstheme="minorBidi"/>
            <w:b w:val="0"/>
          </w:rPr>
          <w:tab/>
        </w:r>
        <w:r w:rsidR="00794197" w:rsidRPr="00C2639C">
          <w:rPr>
            <w:rStyle w:val="Hyperlink"/>
          </w:rPr>
          <w:t>Unaprjeđenje procesa upravljanja ljudskim potencijalima i njihovim razvojem</w:t>
        </w:r>
        <w:r w:rsidR="00794197">
          <w:rPr>
            <w:webHidden/>
          </w:rPr>
          <w:tab/>
        </w:r>
        <w:r w:rsidR="00794197">
          <w:rPr>
            <w:webHidden/>
          </w:rPr>
          <w:fldChar w:fldCharType="begin"/>
        </w:r>
        <w:r w:rsidR="00794197">
          <w:rPr>
            <w:webHidden/>
          </w:rPr>
          <w:instrText xml:space="preserve"> PAGEREF _Toc532299628 \h </w:instrText>
        </w:r>
        <w:r w:rsidR="00794197">
          <w:rPr>
            <w:webHidden/>
          </w:rPr>
        </w:r>
        <w:r w:rsidR="00794197">
          <w:rPr>
            <w:webHidden/>
          </w:rPr>
          <w:fldChar w:fldCharType="separate"/>
        </w:r>
        <w:r w:rsidR="00794197">
          <w:rPr>
            <w:webHidden/>
          </w:rPr>
          <w:t>- 24 -</w:t>
        </w:r>
        <w:r w:rsidR="00794197">
          <w:rPr>
            <w:webHidden/>
          </w:rPr>
          <w:fldChar w:fldCharType="end"/>
        </w:r>
      </w:hyperlink>
    </w:p>
    <w:p w:rsidR="00794197" w:rsidRDefault="00F265D6">
      <w:pPr>
        <w:pStyle w:val="TOC1"/>
        <w:tabs>
          <w:tab w:val="left" w:pos="880"/>
        </w:tabs>
        <w:rPr>
          <w:rFonts w:asciiTheme="minorHAnsi" w:eastAsiaTheme="minorEastAsia" w:hAnsiTheme="minorHAnsi" w:cstheme="minorBidi"/>
          <w:b w:val="0"/>
        </w:rPr>
      </w:pPr>
      <w:hyperlink w:anchor="_Toc532299629" w:history="1">
        <w:r w:rsidR="00794197" w:rsidRPr="00C2639C">
          <w:rPr>
            <w:rStyle w:val="Hyperlink"/>
          </w:rPr>
          <w:t>4.12.</w:t>
        </w:r>
        <w:r w:rsidR="00794197">
          <w:rPr>
            <w:rFonts w:asciiTheme="minorHAnsi" w:eastAsiaTheme="minorEastAsia" w:hAnsiTheme="minorHAnsi" w:cstheme="minorBidi"/>
            <w:b w:val="0"/>
          </w:rPr>
          <w:tab/>
        </w:r>
        <w:r w:rsidR="00794197" w:rsidRPr="00C2639C">
          <w:rPr>
            <w:rStyle w:val="Hyperlink"/>
          </w:rPr>
          <w:t>Društveno odgovorno poslovanje (DOP)</w:t>
        </w:r>
        <w:r w:rsidR="00794197">
          <w:rPr>
            <w:webHidden/>
          </w:rPr>
          <w:tab/>
        </w:r>
        <w:r w:rsidR="00794197">
          <w:rPr>
            <w:webHidden/>
          </w:rPr>
          <w:fldChar w:fldCharType="begin"/>
        </w:r>
        <w:r w:rsidR="00794197">
          <w:rPr>
            <w:webHidden/>
          </w:rPr>
          <w:instrText xml:space="preserve"> PAGEREF _Toc532299629 \h </w:instrText>
        </w:r>
        <w:r w:rsidR="00794197">
          <w:rPr>
            <w:webHidden/>
          </w:rPr>
        </w:r>
        <w:r w:rsidR="00794197">
          <w:rPr>
            <w:webHidden/>
          </w:rPr>
          <w:fldChar w:fldCharType="separate"/>
        </w:r>
        <w:r w:rsidR="00794197">
          <w:rPr>
            <w:webHidden/>
          </w:rPr>
          <w:t>- 25 -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30" w:history="1">
        <w:r w:rsidR="00794197" w:rsidRPr="00C2639C">
          <w:rPr>
            <w:rStyle w:val="Hyperlink"/>
          </w:rPr>
          <w:t>5.</w:t>
        </w:r>
        <w:r w:rsidR="00794197">
          <w:rPr>
            <w:rFonts w:asciiTheme="minorHAnsi" w:eastAsiaTheme="minorEastAsia" w:hAnsiTheme="minorHAnsi" w:cstheme="minorBidi"/>
            <w:b w:val="0"/>
          </w:rPr>
          <w:tab/>
        </w:r>
        <w:r w:rsidR="00794197" w:rsidRPr="00C2639C">
          <w:rPr>
            <w:rStyle w:val="Hyperlink"/>
          </w:rPr>
          <w:t>FINANCIJSKI PLAN ZA 2019. GODINU</w:t>
        </w:r>
        <w:r w:rsidR="00794197">
          <w:rPr>
            <w:webHidden/>
          </w:rPr>
          <w:tab/>
        </w:r>
        <w:r w:rsidR="00794197">
          <w:rPr>
            <w:webHidden/>
          </w:rPr>
          <w:fldChar w:fldCharType="begin"/>
        </w:r>
        <w:r w:rsidR="00794197">
          <w:rPr>
            <w:webHidden/>
          </w:rPr>
          <w:instrText xml:space="preserve"> PAGEREF _Toc532299630 \h </w:instrText>
        </w:r>
        <w:r w:rsidR="00794197">
          <w:rPr>
            <w:webHidden/>
          </w:rPr>
        </w:r>
        <w:r w:rsidR="00794197">
          <w:rPr>
            <w:webHidden/>
          </w:rPr>
          <w:fldChar w:fldCharType="separate"/>
        </w:r>
        <w:r w:rsidR="00794197">
          <w:rPr>
            <w:webHidden/>
          </w:rPr>
          <w:t>- 27 -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31" w:history="1">
        <w:r w:rsidR="00794197" w:rsidRPr="00C2639C">
          <w:rPr>
            <w:rStyle w:val="Hyperlink"/>
          </w:rPr>
          <w:t>5.1.</w:t>
        </w:r>
        <w:r w:rsidR="00794197">
          <w:rPr>
            <w:rFonts w:asciiTheme="minorHAnsi" w:eastAsiaTheme="minorEastAsia" w:hAnsiTheme="minorHAnsi" w:cstheme="minorBidi"/>
            <w:b w:val="0"/>
          </w:rPr>
          <w:tab/>
        </w:r>
        <w:r w:rsidR="00794197" w:rsidRPr="00C2639C">
          <w:rPr>
            <w:rStyle w:val="Hyperlink"/>
          </w:rPr>
          <w:t>Plan prometa i prihoda od igara na sreću za 2019. godinu</w:t>
        </w:r>
        <w:r w:rsidR="00794197">
          <w:rPr>
            <w:webHidden/>
          </w:rPr>
          <w:tab/>
        </w:r>
        <w:r w:rsidR="00794197">
          <w:rPr>
            <w:webHidden/>
          </w:rPr>
          <w:fldChar w:fldCharType="begin"/>
        </w:r>
        <w:r w:rsidR="00794197">
          <w:rPr>
            <w:webHidden/>
          </w:rPr>
          <w:instrText xml:space="preserve"> PAGEREF _Toc532299631 \h </w:instrText>
        </w:r>
        <w:r w:rsidR="00794197">
          <w:rPr>
            <w:webHidden/>
          </w:rPr>
        </w:r>
        <w:r w:rsidR="00794197">
          <w:rPr>
            <w:webHidden/>
          </w:rPr>
          <w:fldChar w:fldCharType="separate"/>
        </w:r>
        <w:r w:rsidR="00794197">
          <w:rPr>
            <w:webHidden/>
          </w:rPr>
          <w:t>- 27 -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32" w:history="1">
        <w:r w:rsidR="00794197" w:rsidRPr="00C2639C">
          <w:rPr>
            <w:rStyle w:val="Hyperlink"/>
          </w:rPr>
          <w:t>5.2.</w:t>
        </w:r>
        <w:r w:rsidR="00794197">
          <w:rPr>
            <w:rFonts w:asciiTheme="minorHAnsi" w:eastAsiaTheme="minorEastAsia" w:hAnsiTheme="minorHAnsi" w:cstheme="minorBidi"/>
            <w:b w:val="0"/>
          </w:rPr>
          <w:tab/>
        </w:r>
        <w:r w:rsidR="00794197" w:rsidRPr="00C2639C">
          <w:rPr>
            <w:rStyle w:val="Hyperlink"/>
          </w:rPr>
          <w:t>Financijski rezultat za 2019. godinu</w:t>
        </w:r>
        <w:r w:rsidR="00794197">
          <w:rPr>
            <w:webHidden/>
          </w:rPr>
          <w:tab/>
        </w:r>
        <w:r w:rsidR="00794197">
          <w:rPr>
            <w:webHidden/>
          </w:rPr>
          <w:fldChar w:fldCharType="begin"/>
        </w:r>
        <w:r w:rsidR="00794197">
          <w:rPr>
            <w:webHidden/>
          </w:rPr>
          <w:instrText xml:space="preserve"> PAGEREF _Toc532299632 \h </w:instrText>
        </w:r>
        <w:r w:rsidR="00794197">
          <w:rPr>
            <w:webHidden/>
          </w:rPr>
        </w:r>
        <w:r w:rsidR="00794197">
          <w:rPr>
            <w:webHidden/>
          </w:rPr>
          <w:fldChar w:fldCharType="separate"/>
        </w:r>
        <w:r w:rsidR="00794197">
          <w:rPr>
            <w:webHidden/>
          </w:rPr>
          <w:t>- 32 -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33" w:history="1">
        <w:r w:rsidR="00794197" w:rsidRPr="00C2639C">
          <w:rPr>
            <w:rStyle w:val="Hyperlink"/>
          </w:rPr>
          <w:t>5.3.</w:t>
        </w:r>
        <w:r w:rsidR="00794197">
          <w:rPr>
            <w:rFonts w:asciiTheme="minorHAnsi" w:eastAsiaTheme="minorEastAsia" w:hAnsiTheme="minorHAnsi" w:cstheme="minorBidi"/>
            <w:b w:val="0"/>
          </w:rPr>
          <w:tab/>
        </w:r>
        <w:r w:rsidR="00794197" w:rsidRPr="00C2639C">
          <w:rPr>
            <w:rStyle w:val="Hyperlink"/>
          </w:rPr>
          <w:t>Plan zaposlenika i politika plaća</w:t>
        </w:r>
        <w:r w:rsidR="00794197">
          <w:rPr>
            <w:webHidden/>
          </w:rPr>
          <w:tab/>
        </w:r>
        <w:r w:rsidR="00794197">
          <w:rPr>
            <w:webHidden/>
          </w:rPr>
          <w:fldChar w:fldCharType="begin"/>
        </w:r>
        <w:r w:rsidR="00794197">
          <w:rPr>
            <w:webHidden/>
          </w:rPr>
          <w:instrText xml:space="preserve"> PAGEREF _Toc532299633 \h </w:instrText>
        </w:r>
        <w:r w:rsidR="00794197">
          <w:rPr>
            <w:webHidden/>
          </w:rPr>
        </w:r>
        <w:r w:rsidR="00794197">
          <w:rPr>
            <w:webHidden/>
          </w:rPr>
          <w:fldChar w:fldCharType="separate"/>
        </w:r>
        <w:r w:rsidR="00794197">
          <w:rPr>
            <w:webHidden/>
          </w:rPr>
          <w:t>- 39 -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34" w:history="1">
        <w:r w:rsidR="00794197" w:rsidRPr="00C2639C">
          <w:rPr>
            <w:rStyle w:val="Hyperlink"/>
          </w:rPr>
          <w:t>5.4.</w:t>
        </w:r>
        <w:r w:rsidR="00794197">
          <w:rPr>
            <w:rFonts w:asciiTheme="minorHAnsi" w:eastAsiaTheme="minorEastAsia" w:hAnsiTheme="minorHAnsi" w:cstheme="minorBidi"/>
            <w:b w:val="0"/>
          </w:rPr>
          <w:tab/>
        </w:r>
        <w:r w:rsidR="00794197" w:rsidRPr="00C2639C">
          <w:rPr>
            <w:rStyle w:val="Hyperlink"/>
          </w:rPr>
          <w:t>Planska bilanca za 2019. godinu</w:t>
        </w:r>
        <w:r w:rsidR="00794197">
          <w:rPr>
            <w:webHidden/>
          </w:rPr>
          <w:tab/>
        </w:r>
        <w:r w:rsidR="00794197">
          <w:rPr>
            <w:webHidden/>
          </w:rPr>
          <w:fldChar w:fldCharType="begin"/>
        </w:r>
        <w:r w:rsidR="00794197">
          <w:rPr>
            <w:webHidden/>
          </w:rPr>
          <w:instrText xml:space="preserve"> PAGEREF _Toc532299634 \h </w:instrText>
        </w:r>
        <w:r w:rsidR="00794197">
          <w:rPr>
            <w:webHidden/>
          </w:rPr>
        </w:r>
        <w:r w:rsidR="00794197">
          <w:rPr>
            <w:webHidden/>
          </w:rPr>
          <w:fldChar w:fldCharType="separate"/>
        </w:r>
        <w:r w:rsidR="00794197">
          <w:rPr>
            <w:webHidden/>
          </w:rPr>
          <w:t>- 41 -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35" w:history="1">
        <w:r w:rsidR="00794197" w:rsidRPr="00C2639C">
          <w:rPr>
            <w:rStyle w:val="Hyperlink"/>
          </w:rPr>
          <w:t>5.5.</w:t>
        </w:r>
        <w:r w:rsidR="00794197">
          <w:rPr>
            <w:rFonts w:asciiTheme="minorHAnsi" w:eastAsiaTheme="minorEastAsia" w:hAnsiTheme="minorHAnsi" w:cstheme="minorBidi"/>
            <w:b w:val="0"/>
          </w:rPr>
          <w:tab/>
        </w:r>
        <w:r w:rsidR="00794197" w:rsidRPr="00C2639C">
          <w:rPr>
            <w:rStyle w:val="Hyperlink"/>
          </w:rPr>
          <w:t>Pokazatelji uspješnosti poslovanja</w:t>
        </w:r>
        <w:r w:rsidR="00794197">
          <w:rPr>
            <w:webHidden/>
          </w:rPr>
          <w:tab/>
        </w:r>
        <w:r w:rsidR="00794197">
          <w:rPr>
            <w:webHidden/>
          </w:rPr>
          <w:fldChar w:fldCharType="begin"/>
        </w:r>
        <w:r w:rsidR="00794197">
          <w:rPr>
            <w:webHidden/>
          </w:rPr>
          <w:instrText xml:space="preserve"> PAGEREF _Toc532299635 \h </w:instrText>
        </w:r>
        <w:r w:rsidR="00794197">
          <w:rPr>
            <w:webHidden/>
          </w:rPr>
        </w:r>
        <w:r w:rsidR="00794197">
          <w:rPr>
            <w:webHidden/>
          </w:rPr>
          <w:fldChar w:fldCharType="separate"/>
        </w:r>
        <w:r w:rsidR="00794197">
          <w:rPr>
            <w:webHidden/>
          </w:rPr>
          <w:t>- 42 -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36" w:history="1">
        <w:r w:rsidR="00794197" w:rsidRPr="00C2639C">
          <w:rPr>
            <w:rStyle w:val="Hyperlink"/>
          </w:rPr>
          <w:t>5.6.</w:t>
        </w:r>
        <w:r w:rsidR="00794197">
          <w:rPr>
            <w:rFonts w:asciiTheme="minorHAnsi" w:eastAsiaTheme="minorEastAsia" w:hAnsiTheme="minorHAnsi" w:cstheme="minorBidi"/>
            <w:b w:val="0"/>
          </w:rPr>
          <w:tab/>
        </w:r>
        <w:r w:rsidR="00794197" w:rsidRPr="00C2639C">
          <w:rPr>
            <w:rStyle w:val="Hyperlink"/>
          </w:rPr>
          <w:t>Plan investicija za 2019. godinu</w:t>
        </w:r>
        <w:r w:rsidR="00794197">
          <w:rPr>
            <w:webHidden/>
          </w:rPr>
          <w:tab/>
        </w:r>
        <w:r w:rsidR="00794197">
          <w:rPr>
            <w:webHidden/>
          </w:rPr>
          <w:fldChar w:fldCharType="begin"/>
        </w:r>
        <w:r w:rsidR="00794197">
          <w:rPr>
            <w:webHidden/>
          </w:rPr>
          <w:instrText xml:space="preserve"> PAGEREF _Toc532299636 \h </w:instrText>
        </w:r>
        <w:r w:rsidR="00794197">
          <w:rPr>
            <w:webHidden/>
          </w:rPr>
        </w:r>
        <w:r w:rsidR="00794197">
          <w:rPr>
            <w:webHidden/>
          </w:rPr>
          <w:fldChar w:fldCharType="separate"/>
        </w:r>
        <w:r w:rsidR="00794197">
          <w:rPr>
            <w:webHidden/>
          </w:rPr>
          <w:t>- 42 -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37" w:history="1">
        <w:r w:rsidR="00794197" w:rsidRPr="00C2639C">
          <w:rPr>
            <w:rStyle w:val="Hyperlink"/>
          </w:rPr>
          <w:t>5.7.</w:t>
        </w:r>
        <w:r w:rsidR="00794197">
          <w:rPr>
            <w:rFonts w:asciiTheme="minorHAnsi" w:eastAsiaTheme="minorEastAsia" w:hAnsiTheme="minorHAnsi" w:cstheme="minorBidi"/>
            <w:b w:val="0"/>
          </w:rPr>
          <w:tab/>
        </w:r>
        <w:r w:rsidR="00794197" w:rsidRPr="00C2639C">
          <w:rPr>
            <w:rStyle w:val="Hyperlink"/>
          </w:rPr>
          <w:t>Planirana sredstva u korist državnog proračuna</w:t>
        </w:r>
        <w:r w:rsidR="00794197">
          <w:rPr>
            <w:webHidden/>
          </w:rPr>
          <w:tab/>
        </w:r>
        <w:r w:rsidR="00794197">
          <w:rPr>
            <w:webHidden/>
          </w:rPr>
          <w:fldChar w:fldCharType="begin"/>
        </w:r>
        <w:r w:rsidR="00794197">
          <w:rPr>
            <w:webHidden/>
          </w:rPr>
          <w:instrText xml:space="preserve"> PAGEREF _Toc532299637 \h </w:instrText>
        </w:r>
        <w:r w:rsidR="00794197">
          <w:rPr>
            <w:webHidden/>
          </w:rPr>
        </w:r>
        <w:r w:rsidR="00794197">
          <w:rPr>
            <w:webHidden/>
          </w:rPr>
          <w:fldChar w:fldCharType="separate"/>
        </w:r>
        <w:r w:rsidR="00794197">
          <w:rPr>
            <w:webHidden/>
          </w:rPr>
          <w:t>- 43 -</w:t>
        </w:r>
        <w:r w:rsidR="00794197">
          <w:rPr>
            <w:webHidden/>
          </w:rPr>
          <w:fldChar w:fldCharType="end"/>
        </w:r>
      </w:hyperlink>
    </w:p>
    <w:p w:rsidR="00794197" w:rsidRDefault="00F265D6">
      <w:pPr>
        <w:pStyle w:val="TOC1"/>
        <w:rPr>
          <w:rFonts w:asciiTheme="minorHAnsi" w:eastAsiaTheme="minorEastAsia" w:hAnsiTheme="minorHAnsi" w:cstheme="minorBidi"/>
          <w:b w:val="0"/>
        </w:rPr>
      </w:pPr>
      <w:hyperlink w:anchor="_Toc532299638" w:history="1">
        <w:r w:rsidR="00794197" w:rsidRPr="00C2639C">
          <w:rPr>
            <w:rStyle w:val="Hyperlink"/>
          </w:rPr>
          <w:t>5.7.1. Planirana sredstva za financiranje organizacija sukladno čl. 8 Zakona  o igrama na sreću</w:t>
        </w:r>
        <w:r w:rsidR="00794197">
          <w:rPr>
            <w:webHidden/>
          </w:rPr>
          <w:tab/>
        </w:r>
        <w:r w:rsidR="00794197">
          <w:rPr>
            <w:webHidden/>
          </w:rPr>
          <w:fldChar w:fldCharType="begin"/>
        </w:r>
        <w:r w:rsidR="00794197">
          <w:rPr>
            <w:webHidden/>
          </w:rPr>
          <w:instrText xml:space="preserve"> PAGEREF _Toc532299638 \h </w:instrText>
        </w:r>
        <w:r w:rsidR="00794197">
          <w:rPr>
            <w:webHidden/>
          </w:rPr>
        </w:r>
        <w:r w:rsidR="00794197">
          <w:rPr>
            <w:webHidden/>
          </w:rPr>
          <w:fldChar w:fldCharType="separate"/>
        </w:r>
        <w:r w:rsidR="00794197">
          <w:rPr>
            <w:webHidden/>
          </w:rPr>
          <w:t>- 44 -</w:t>
        </w:r>
        <w:r w:rsidR="00794197">
          <w:rPr>
            <w:webHidden/>
          </w:rPr>
          <w:fldChar w:fldCharType="end"/>
        </w:r>
      </w:hyperlink>
    </w:p>
    <w:p w:rsidR="00200143" w:rsidRDefault="003A09B6" w:rsidP="009707D7">
      <w:pPr>
        <w:tabs>
          <w:tab w:val="right" w:leader="dot" w:pos="9639"/>
        </w:tabs>
        <w:rPr>
          <w:rFonts w:cs="Calibri"/>
          <w:bCs/>
        </w:rPr>
      </w:pPr>
      <w:r w:rsidRPr="00E03894">
        <w:rPr>
          <w:rFonts w:cs="Calibri"/>
          <w:bCs/>
        </w:rPr>
        <w:fldChar w:fldCharType="end"/>
      </w: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Default="000B5B60" w:rsidP="009707D7">
      <w:pPr>
        <w:tabs>
          <w:tab w:val="right" w:leader="dot" w:pos="9639"/>
        </w:tabs>
        <w:rPr>
          <w:rFonts w:cs="Calibri"/>
          <w:bCs/>
        </w:rPr>
      </w:pPr>
    </w:p>
    <w:p w:rsidR="000B5B60" w:rsidRPr="00174A1D" w:rsidRDefault="000B5B60" w:rsidP="009707D7">
      <w:pPr>
        <w:tabs>
          <w:tab w:val="right" w:leader="dot" w:pos="9639"/>
        </w:tabs>
        <w:rPr>
          <w:rFonts w:cs="Calibri"/>
          <w:bCs/>
        </w:rPr>
      </w:pPr>
    </w:p>
    <w:p w:rsidR="003A09B6" w:rsidRPr="001D24E4" w:rsidRDefault="003A09B6" w:rsidP="00E22AD5">
      <w:pPr>
        <w:pStyle w:val="Heading1"/>
        <w:numPr>
          <w:ilvl w:val="0"/>
          <w:numId w:val="1"/>
        </w:numPr>
        <w:ind w:left="0" w:firstLine="0"/>
        <w:jc w:val="both"/>
        <w:rPr>
          <w:rFonts w:ascii="Calibri" w:hAnsi="Calibri" w:cs="Calibri"/>
          <w:sz w:val="28"/>
          <w:szCs w:val="28"/>
        </w:rPr>
      </w:pPr>
      <w:bookmarkStart w:id="1" w:name="_Toc532299605"/>
      <w:r w:rsidRPr="001D24E4">
        <w:rPr>
          <w:rFonts w:ascii="Calibri" w:hAnsi="Calibri" w:cs="Calibri"/>
          <w:sz w:val="28"/>
          <w:szCs w:val="28"/>
        </w:rPr>
        <w:t>UVOD</w:t>
      </w:r>
      <w:bookmarkEnd w:id="1"/>
    </w:p>
    <w:p w:rsidR="003A09B6" w:rsidRPr="001D24E4" w:rsidRDefault="003A09B6" w:rsidP="003A09B6">
      <w:pPr>
        <w:jc w:val="both"/>
        <w:rPr>
          <w:rFonts w:cs="Calibri"/>
        </w:rPr>
      </w:pPr>
    </w:p>
    <w:p w:rsidR="00FD3803" w:rsidRPr="007A598F" w:rsidRDefault="00492C86" w:rsidP="003A09B6">
      <w:pPr>
        <w:pStyle w:val="ListParagraph"/>
        <w:ind w:left="0"/>
        <w:jc w:val="both"/>
        <w:rPr>
          <w:rFonts w:cs="Calibri"/>
        </w:rPr>
      </w:pPr>
      <w:r w:rsidRPr="007A598F">
        <w:rPr>
          <w:rFonts w:cs="Calibri"/>
        </w:rPr>
        <w:t xml:space="preserve">Hrvatska </w:t>
      </w:r>
      <w:r w:rsidR="00092BB7">
        <w:rPr>
          <w:rFonts w:cs="Calibri"/>
        </w:rPr>
        <w:t>L</w:t>
      </w:r>
      <w:r w:rsidRPr="007A598F">
        <w:rPr>
          <w:rFonts w:cs="Calibri"/>
        </w:rPr>
        <w:t>utrija d.o.o. Zagreb</w:t>
      </w:r>
      <w:r w:rsidR="00A074FC">
        <w:rPr>
          <w:rFonts w:cs="Calibri"/>
        </w:rPr>
        <w:t xml:space="preserve"> </w:t>
      </w:r>
      <w:r w:rsidRPr="007A598F">
        <w:rPr>
          <w:rFonts w:cs="Calibri"/>
        </w:rPr>
        <w:t>je društvo s ograničenom odgovornošću za organiziranje i priređivanje igara na sreću te zabavnih igara. Sukladno Uredbi o osnivanju Hrvatske lutrije</w:t>
      </w:r>
      <w:r w:rsidR="00FD3803" w:rsidRPr="007A598F">
        <w:rPr>
          <w:rFonts w:cs="Calibri"/>
        </w:rPr>
        <w:t xml:space="preserve"> d.o.o. (NN 12/92), jedini osnivač društva je Republika Hrvatska. Sustav, vrste i uvjeti </w:t>
      </w:r>
      <w:r w:rsidR="00092BB7" w:rsidRPr="007A598F">
        <w:rPr>
          <w:rFonts w:cs="Calibri"/>
        </w:rPr>
        <w:t>priređivanja</w:t>
      </w:r>
      <w:r w:rsidR="00FD3803" w:rsidRPr="007A598F">
        <w:rPr>
          <w:rFonts w:cs="Calibri"/>
        </w:rPr>
        <w:t xml:space="preserve"> igara na sreću uređeni su Zakonom o igrama na sreću koji je u primjeni od 1.1.2010. godine (</w:t>
      </w:r>
      <w:r w:rsidR="000B09EA" w:rsidRPr="007A598F">
        <w:rPr>
          <w:rFonts w:cs="Calibri"/>
        </w:rPr>
        <w:t xml:space="preserve">NN br. </w:t>
      </w:r>
      <w:hyperlink r:id="rId14" w:history="1">
        <w:r w:rsidR="00FD3803" w:rsidRPr="007A598F">
          <w:rPr>
            <w:rFonts w:cs="Calibri"/>
          </w:rPr>
          <w:t>87/09</w:t>
        </w:r>
      </w:hyperlink>
      <w:r w:rsidR="00FD3803" w:rsidRPr="007A598F">
        <w:rPr>
          <w:rFonts w:cs="Calibri"/>
        </w:rPr>
        <w:t>, </w:t>
      </w:r>
      <w:hyperlink r:id="rId15" w:history="1">
        <w:r w:rsidR="00FD3803" w:rsidRPr="007A598F">
          <w:rPr>
            <w:rFonts w:cs="Calibri"/>
          </w:rPr>
          <w:t>35/13</w:t>
        </w:r>
      </w:hyperlink>
      <w:r w:rsidR="00FD3803" w:rsidRPr="007A598F">
        <w:rPr>
          <w:rFonts w:cs="Calibri"/>
        </w:rPr>
        <w:t>, </w:t>
      </w:r>
      <w:hyperlink r:id="rId16" w:history="1">
        <w:r w:rsidR="00FD3803" w:rsidRPr="007A598F">
          <w:rPr>
            <w:rFonts w:cs="Calibri"/>
          </w:rPr>
          <w:t>158/13</w:t>
        </w:r>
      </w:hyperlink>
      <w:r w:rsidR="00FD3803" w:rsidRPr="007A598F">
        <w:rPr>
          <w:rFonts w:cs="Calibri"/>
        </w:rPr>
        <w:t>, </w:t>
      </w:r>
      <w:hyperlink r:id="rId17" w:history="1">
        <w:r w:rsidR="00FD3803" w:rsidRPr="007A598F">
          <w:rPr>
            <w:rFonts w:cs="Calibri"/>
          </w:rPr>
          <w:t>41/14</w:t>
        </w:r>
      </w:hyperlink>
      <w:r w:rsidR="00FD3803" w:rsidRPr="007A598F">
        <w:rPr>
          <w:rFonts w:cs="Calibri"/>
        </w:rPr>
        <w:t>, </w:t>
      </w:r>
      <w:hyperlink r:id="rId18" w:history="1">
        <w:r w:rsidR="00FD3803" w:rsidRPr="007A598F">
          <w:rPr>
            <w:rFonts w:cs="Calibri"/>
          </w:rPr>
          <w:t>143/14</w:t>
        </w:r>
      </w:hyperlink>
      <w:r w:rsidR="000B09EA" w:rsidRPr="007A598F">
        <w:rPr>
          <w:rFonts w:cs="Calibri"/>
        </w:rPr>
        <w:t>).</w:t>
      </w:r>
    </w:p>
    <w:p w:rsidR="000B09EA" w:rsidRPr="007A598F" w:rsidRDefault="000B09EA" w:rsidP="000B09EA">
      <w:pPr>
        <w:jc w:val="both"/>
        <w:rPr>
          <w:rFonts w:cs="Calibri"/>
        </w:rPr>
      </w:pPr>
      <w:r w:rsidRPr="007A598F">
        <w:rPr>
          <w:rFonts w:cs="Calibri"/>
        </w:rPr>
        <w:t xml:space="preserve">Na tržištu smo </w:t>
      </w:r>
      <w:r w:rsidR="00936CFB" w:rsidRPr="007A598F">
        <w:rPr>
          <w:rFonts w:cs="Calibri"/>
        </w:rPr>
        <w:t xml:space="preserve">prisutni </w:t>
      </w:r>
      <w:r w:rsidRPr="007A598F">
        <w:rPr>
          <w:rFonts w:cs="Calibri"/>
        </w:rPr>
        <w:t>s bogatim asortimanom igara (raznovrsne lutrijske igre, kladioničke igre, igre na automatima i u casinima) koje stalno unaprjeđujemo kako bi, ne samo ispunili već i nadmašili očekivanja naših igrača. Istovremeno, generiramo i značajna novčana sredstva kojima sudjelujemo u realizaciji brojnih projekata. Oni imaju za cilj unaprijediti kvalitetu života na mnogim područjima društvenog života i u svim dijelovima Hrvatske. Igre nastojimo priređivati na takav način da budu zabavne našim igračima i korisne za cijelo društvo i da doista budu - više od igre.</w:t>
      </w:r>
    </w:p>
    <w:p w:rsidR="000B09EA" w:rsidRPr="007A598F" w:rsidRDefault="000B09EA" w:rsidP="000B09EA">
      <w:pPr>
        <w:jc w:val="both"/>
        <w:rPr>
          <w:rFonts w:cs="Calibri"/>
        </w:rPr>
      </w:pPr>
      <w:r w:rsidRPr="007A598F">
        <w:rPr>
          <w:rFonts w:cs="Calibri"/>
        </w:rPr>
        <w:t xml:space="preserve">U nastojanju da na tržištu igara na sreću u Hrvatskoj zadržimo vodeću poziciju i ispunimo očekivanja svih naših dionika, kontinuirano pratimo razvoj suvremene </w:t>
      </w:r>
      <w:r w:rsidR="00581473" w:rsidRPr="007A598F">
        <w:rPr>
          <w:rFonts w:cs="Calibri"/>
        </w:rPr>
        <w:t>te</w:t>
      </w:r>
      <w:r w:rsidR="00180163">
        <w:rPr>
          <w:rFonts w:cs="Calibri"/>
        </w:rPr>
        <w:t>hn</w:t>
      </w:r>
      <w:r w:rsidR="00581473" w:rsidRPr="007A598F">
        <w:rPr>
          <w:rFonts w:cs="Calibri"/>
        </w:rPr>
        <w:t>ologije</w:t>
      </w:r>
      <w:r w:rsidRPr="007A598F">
        <w:rPr>
          <w:rFonts w:cs="Calibri"/>
        </w:rPr>
        <w:t xml:space="preserve"> i najnovije trendove na području igara na sreću. Aktivni smo član udruženja europskih i svjetskih lutrijskih organizacija i dosljedno primjenjujemo standarde odgovornog priređivanja igara na sreću.</w:t>
      </w:r>
    </w:p>
    <w:p w:rsidR="000B09EA" w:rsidRPr="007A598F" w:rsidRDefault="000B09EA" w:rsidP="000B09EA">
      <w:pPr>
        <w:pStyle w:val="ListParagraph"/>
        <w:ind w:left="0"/>
        <w:jc w:val="both"/>
        <w:rPr>
          <w:rFonts w:cs="Calibri"/>
        </w:rPr>
      </w:pPr>
      <w:r w:rsidRPr="007A598F">
        <w:rPr>
          <w:rFonts w:cs="Calibri"/>
        </w:rPr>
        <w:t>Bogato iskustvo naših zaposlenika, njihova posvećenost poslu i stalnom učenju, jamstvo su da će naši visoko postavljeni ciljevi biti i ostvareni.</w:t>
      </w:r>
    </w:p>
    <w:p w:rsidR="000B09EA" w:rsidRPr="007A598F" w:rsidRDefault="000B09EA" w:rsidP="000B09EA">
      <w:pPr>
        <w:pStyle w:val="ListParagraph"/>
        <w:ind w:left="0"/>
        <w:jc w:val="both"/>
        <w:rPr>
          <w:rFonts w:cs="Calibri"/>
        </w:rPr>
      </w:pPr>
    </w:p>
    <w:p w:rsidR="000B09EA" w:rsidRPr="007A598F" w:rsidRDefault="000B09EA" w:rsidP="000B09EA">
      <w:pPr>
        <w:pStyle w:val="ListParagraph"/>
        <w:ind w:left="0"/>
        <w:jc w:val="both"/>
        <w:rPr>
          <w:rFonts w:cs="Calibri"/>
        </w:rPr>
      </w:pPr>
      <w:r w:rsidRPr="007A598F">
        <w:rPr>
          <w:rFonts w:cs="Calibri"/>
        </w:rPr>
        <w:t>Osnovni podaci:</w:t>
      </w:r>
    </w:p>
    <w:p w:rsidR="000B09EA" w:rsidRPr="007A598F" w:rsidRDefault="000B09EA" w:rsidP="00E22AD5">
      <w:pPr>
        <w:pStyle w:val="ListParagraph"/>
        <w:numPr>
          <w:ilvl w:val="0"/>
          <w:numId w:val="2"/>
        </w:numPr>
        <w:jc w:val="both"/>
        <w:rPr>
          <w:rFonts w:cs="Calibri"/>
        </w:rPr>
      </w:pPr>
      <w:r w:rsidRPr="007A598F">
        <w:rPr>
          <w:rFonts w:cs="Calibri"/>
        </w:rPr>
        <w:t>sjedište: Ulica grada Vukovara 72, 10 000 Zagreb</w:t>
      </w:r>
    </w:p>
    <w:p w:rsidR="000B09EA" w:rsidRPr="007A598F" w:rsidRDefault="000B09EA" w:rsidP="00E22AD5">
      <w:pPr>
        <w:pStyle w:val="ListParagraph"/>
        <w:numPr>
          <w:ilvl w:val="0"/>
          <w:numId w:val="2"/>
        </w:numPr>
        <w:jc w:val="both"/>
        <w:rPr>
          <w:rFonts w:cs="Calibri"/>
        </w:rPr>
      </w:pPr>
      <w:r w:rsidRPr="007A598F">
        <w:rPr>
          <w:rFonts w:cs="Calibri"/>
        </w:rPr>
        <w:t>osobni identifikacijski broj društva (OIB): 27905228158</w:t>
      </w:r>
    </w:p>
    <w:p w:rsidR="000B09EA" w:rsidRDefault="000B09EA" w:rsidP="00E22AD5">
      <w:pPr>
        <w:pStyle w:val="ListParagraph"/>
        <w:numPr>
          <w:ilvl w:val="0"/>
          <w:numId w:val="2"/>
        </w:numPr>
        <w:jc w:val="both"/>
        <w:rPr>
          <w:rFonts w:cs="Calibri"/>
        </w:rPr>
      </w:pPr>
      <w:r w:rsidRPr="007A598F">
        <w:rPr>
          <w:rFonts w:cs="Calibri"/>
        </w:rPr>
        <w:t>upisana kod Trgovačkog suda u Zagrebu, broj upisa: 080200694 </w:t>
      </w:r>
    </w:p>
    <w:p w:rsidR="00180163" w:rsidRPr="007A598F" w:rsidRDefault="00180163" w:rsidP="00E22AD5">
      <w:pPr>
        <w:pStyle w:val="ListParagraph"/>
        <w:numPr>
          <w:ilvl w:val="0"/>
          <w:numId w:val="2"/>
        </w:numPr>
        <w:jc w:val="both"/>
        <w:rPr>
          <w:rFonts w:cs="Calibri"/>
        </w:rPr>
      </w:pPr>
      <w:r>
        <w:rPr>
          <w:rFonts w:cs="Calibri"/>
        </w:rPr>
        <w:t>brojčana oznaka pravno ustrojstvenog oblika: 92</w:t>
      </w:r>
    </w:p>
    <w:p w:rsidR="000B09EA" w:rsidRPr="007A598F" w:rsidRDefault="000B09EA" w:rsidP="00E22AD5">
      <w:pPr>
        <w:pStyle w:val="ListParagraph"/>
        <w:numPr>
          <w:ilvl w:val="0"/>
          <w:numId w:val="2"/>
        </w:numPr>
        <w:jc w:val="both"/>
        <w:rPr>
          <w:rFonts w:cs="Calibri"/>
        </w:rPr>
      </w:pPr>
      <w:r w:rsidRPr="007A598F">
        <w:rPr>
          <w:rFonts w:cs="Calibri"/>
        </w:rPr>
        <w:lastRenderedPageBreak/>
        <w:t>broj žiro računa: HR0223400091100010651, kod Privredna banka Zagreb d.d. </w:t>
      </w:r>
    </w:p>
    <w:p w:rsidR="000B09EA" w:rsidRPr="007A598F" w:rsidRDefault="000B09EA" w:rsidP="00E22AD5">
      <w:pPr>
        <w:pStyle w:val="ListParagraph"/>
        <w:numPr>
          <w:ilvl w:val="0"/>
          <w:numId w:val="2"/>
        </w:numPr>
        <w:jc w:val="both"/>
        <w:rPr>
          <w:rFonts w:cs="Calibri"/>
        </w:rPr>
      </w:pPr>
      <w:r w:rsidRPr="007A598F">
        <w:rPr>
          <w:rFonts w:cs="Calibri"/>
        </w:rPr>
        <w:t>temeljni kapital: 50.000.000,00 kn, uplaćen u cijelosti </w:t>
      </w:r>
    </w:p>
    <w:p w:rsidR="000B09EA" w:rsidRPr="007A598F" w:rsidRDefault="000B09EA" w:rsidP="00E22AD5">
      <w:pPr>
        <w:pStyle w:val="ListParagraph"/>
        <w:numPr>
          <w:ilvl w:val="0"/>
          <w:numId w:val="2"/>
        </w:numPr>
        <w:jc w:val="both"/>
        <w:rPr>
          <w:rFonts w:cs="Calibri"/>
        </w:rPr>
      </w:pPr>
      <w:r w:rsidRPr="007A598F">
        <w:rPr>
          <w:rFonts w:cs="Calibri"/>
        </w:rPr>
        <w:t>Predsjednik Uprave: Mario Musa</w:t>
      </w:r>
    </w:p>
    <w:p w:rsidR="000B09EA" w:rsidRPr="007A598F" w:rsidRDefault="000B09EA" w:rsidP="00E22AD5">
      <w:pPr>
        <w:pStyle w:val="ListParagraph"/>
        <w:numPr>
          <w:ilvl w:val="0"/>
          <w:numId w:val="2"/>
        </w:numPr>
        <w:jc w:val="both"/>
        <w:rPr>
          <w:rFonts w:cs="Calibri"/>
        </w:rPr>
      </w:pPr>
      <w:r w:rsidRPr="007A598F">
        <w:rPr>
          <w:rFonts w:cs="Calibri"/>
        </w:rPr>
        <w:t>Član Uprave: Eugen Sunara</w:t>
      </w:r>
    </w:p>
    <w:p w:rsidR="00817E04" w:rsidRPr="009707D7" w:rsidRDefault="00817E04" w:rsidP="00E22AD5">
      <w:pPr>
        <w:pStyle w:val="ListParagraph"/>
        <w:numPr>
          <w:ilvl w:val="0"/>
          <w:numId w:val="2"/>
        </w:numPr>
        <w:jc w:val="both"/>
        <w:rPr>
          <w:rFonts w:cs="Calibri"/>
        </w:rPr>
      </w:pPr>
      <w:r w:rsidRPr="009707D7">
        <w:rPr>
          <w:rFonts w:cs="Calibri"/>
        </w:rPr>
        <w:t xml:space="preserve">Broj zaposlenih na dan </w:t>
      </w:r>
      <w:r w:rsidR="008F42F2" w:rsidRPr="008F42F2">
        <w:rPr>
          <w:rFonts w:cs="Calibri"/>
        </w:rPr>
        <w:t>31</w:t>
      </w:r>
      <w:r w:rsidRPr="008F42F2">
        <w:rPr>
          <w:rFonts w:cs="Calibri"/>
        </w:rPr>
        <w:t>.1</w:t>
      </w:r>
      <w:r w:rsidR="008F42F2" w:rsidRPr="008F42F2">
        <w:rPr>
          <w:rFonts w:cs="Calibri"/>
        </w:rPr>
        <w:t>0.2018</w:t>
      </w:r>
      <w:r w:rsidRPr="008F42F2">
        <w:rPr>
          <w:rFonts w:cs="Calibri"/>
        </w:rPr>
        <w:t xml:space="preserve">.: </w:t>
      </w:r>
      <w:r w:rsidR="009707D7" w:rsidRPr="008F42F2">
        <w:rPr>
          <w:rFonts w:cs="Calibri"/>
        </w:rPr>
        <w:t>1.3</w:t>
      </w:r>
      <w:r w:rsidR="008F42F2" w:rsidRPr="008F42F2">
        <w:rPr>
          <w:rFonts w:cs="Calibri"/>
        </w:rPr>
        <w:t>77</w:t>
      </w:r>
    </w:p>
    <w:p w:rsidR="00180163" w:rsidRDefault="00180163" w:rsidP="000B09EA">
      <w:pPr>
        <w:pStyle w:val="ListParagraph"/>
        <w:ind w:left="0"/>
        <w:jc w:val="both"/>
        <w:rPr>
          <w:rFonts w:cs="Calibri"/>
        </w:rPr>
      </w:pPr>
    </w:p>
    <w:p w:rsidR="00962E5E" w:rsidRPr="007A598F" w:rsidRDefault="00180163" w:rsidP="000B09EA">
      <w:pPr>
        <w:pStyle w:val="ListParagraph"/>
        <w:ind w:left="0"/>
        <w:jc w:val="both"/>
        <w:rPr>
          <w:rFonts w:cs="Calibri"/>
        </w:rPr>
      </w:pPr>
      <w:r>
        <w:rPr>
          <w:rFonts w:cs="Calibri"/>
        </w:rPr>
        <w:t>V</w:t>
      </w:r>
      <w:r w:rsidR="00962E5E" w:rsidRPr="007A598F">
        <w:rPr>
          <w:rFonts w:cs="Calibri"/>
        </w:rPr>
        <w:t xml:space="preserve">izija: </w:t>
      </w:r>
    </w:p>
    <w:p w:rsidR="000B09EA" w:rsidRPr="007A598F" w:rsidRDefault="00024339" w:rsidP="000B09EA">
      <w:pPr>
        <w:pStyle w:val="ListParagraph"/>
        <w:ind w:left="0"/>
        <w:jc w:val="both"/>
        <w:rPr>
          <w:rFonts w:cs="Calibri"/>
        </w:rPr>
      </w:pPr>
      <w:r w:rsidRPr="007A598F">
        <w:rPr>
          <w:rFonts w:cs="Calibri"/>
        </w:rPr>
        <w:t>Omogućiti vrhunski doživljaj igranja kroz kvalitetno, pouzdano i odgovorno priređivanje igara na sreću. Prikupljanjem sredstava kroz igru dati značajan doprinos razvoju društva.</w:t>
      </w:r>
    </w:p>
    <w:p w:rsidR="000B09EA" w:rsidRPr="007A598F" w:rsidRDefault="000B09EA" w:rsidP="000B09EA">
      <w:pPr>
        <w:pStyle w:val="ListParagraph"/>
        <w:ind w:left="0"/>
        <w:jc w:val="both"/>
        <w:rPr>
          <w:rFonts w:cs="Calibri"/>
        </w:rPr>
      </w:pPr>
    </w:p>
    <w:p w:rsidR="003A09B6" w:rsidRPr="007A598F" w:rsidRDefault="00180163" w:rsidP="00024339">
      <w:pPr>
        <w:pStyle w:val="ListParagraph"/>
        <w:ind w:left="0"/>
        <w:jc w:val="both"/>
        <w:rPr>
          <w:rFonts w:cs="Calibri"/>
        </w:rPr>
      </w:pPr>
      <w:r>
        <w:rPr>
          <w:rFonts w:cs="Calibri"/>
        </w:rPr>
        <w:t>M</w:t>
      </w:r>
      <w:r w:rsidR="00024339" w:rsidRPr="007A598F">
        <w:rPr>
          <w:rFonts w:cs="Calibri"/>
        </w:rPr>
        <w:t>isija:</w:t>
      </w:r>
    </w:p>
    <w:p w:rsidR="00024339" w:rsidRPr="007A598F" w:rsidRDefault="00024339" w:rsidP="00024339">
      <w:pPr>
        <w:pStyle w:val="ListParagraph"/>
        <w:ind w:left="0"/>
        <w:jc w:val="both"/>
        <w:rPr>
          <w:rFonts w:cs="Calibri"/>
        </w:rPr>
      </w:pPr>
      <w:r w:rsidRPr="007A598F">
        <w:rPr>
          <w:rFonts w:cs="Calibri"/>
        </w:rPr>
        <w:t>Bogatim asortimanom svojih proizvoda, inovativnošću, primjenom suvremenih tehnoloških dostignuća i kvalitetnom uslugom nadmašiti očekivanja igrača.</w:t>
      </w:r>
    </w:p>
    <w:p w:rsidR="00024339" w:rsidRPr="007A598F" w:rsidRDefault="00024339" w:rsidP="00024339">
      <w:pPr>
        <w:pStyle w:val="ListParagraph"/>
        <w:ind w:left="0"/>
        <w:jc w:val="both"/>
        <w:rPr>
          <w:rFonts w:cs="Calibri"/>
        </w:rPr>
      </w:pPr>
      <w:r w:rsidRPr="007A598F">
        <w:rPr>
          <w:rFonts w:cs="Calibri"/>
        </w:rPr>
        <w:t>Priređivanjem igara na sreću na kontroliran i društveno odgovoran način generirati više sredstava za društveno korisne djelatnosti i humanitarne aktivnosti.</w:t>
      </w:r>
    </w:p>
    <w:p w:rsidR="00492C86" w:rsidRPr="007A598F" w:rsidRDefault="00024339" w:rsidP="00024339">
      <w:pPr>
        <w:pStyle w:val="ListParagraph"/>
        <w:ind w:left="0"/>
        <w:jc w:val="both"/>
        <w:rPr>
          <w:rFonts w:cs="Calibri"/>
        </w:rPr>
      </w:pPr>
      <w:r w:rsidRPr="007A598F">
        <w:rPr>
          <w:rFonts w:cs="Calibri"/>
        </w:rPr>
        <w:t>Kontinuiranim poboljšanjem radnih uvjeta, poticanjem osobnog razvoja i primjerenim sustavom nagrađivanja stvoriti motivirajuće radno okruženje koje će biti temelj poslovnog uspjeha.</w:t>
      </w:r>
      <w:r w:rsidR="00492C86" w:rsidRPr="007A598F">
        <w:rPr>
          <w:rFonts w:cs="Calibri"/>
        </w:rPr>
        <w:t>  </w:t>
      </w:r>
    </w:p>
    <w:p w:rsidR="00024339" w:rsidRDefault="00024339" w:rsidP="00024339">
      <w:pPr>
        <w:pStyle w:val="ListParagraph"/>
        <w:ind w:left="0"/>
        <w:jc w:val="both"/>
        <w:rPr>
          <w:rFonts w:cs="Calibri"/>
        </w:rPr>
      </w:pPr>
    </w:p>
    <w:p w:rsidR="00180163" w:rsidRDefault="00180163" w:rsidP="00024339">
      <w:pPr>
        <w:pStyle w:val="ListParagraph"/>
        <w:ind w:left="0"/>
        <w:jc w:val="both"/>
        <w:rPr>
          <w:rFonts w:cs="Calibri"/>
        </w:rPr>
      </w:pPr>
    </w:p>
    <w:p w:rsidR="00180163" w:rsidRDefault="00180163" w:rsidP="00024339">
      <w:pPr>
        <w:pStyle w:val="ListParagraph"/>
        <w:ind w:left="0"/>
        <w:jc w:val="both"/>
        <w:rPr>
          <w:rFonts w:cs="Calibri"/>
        </w:rPr>
      </w:pPr>
    </w:p>
    <w:p w:rsidR="000B5B60" w:rsidRPr="007A598F" w:rsidRDefault="000B5B60" w:rsidP="00024339">
      <w:pPr>
        <w:pStyle w:val="ListParagraph"/>
        <w:ind w:left="0"/>
        <w:jc w:val="both"/>
        <w:rPr>
          <w:rFonts w:cs="Calibri"/>
        </w:rPr>
      </w:pPr>
    </w:p>
    <w:p w:rsidR="00024339" w:rsidRPr="007A598F" w:rsidRDefault="00024339" w:rsidP="00024339">
      <w:pPr>
        <w:pStyle w:val="ListParagraph"/>
        <w:ind w:left="0"/>
        <w:jc w:val="both"/>
        <w:rPr>
          <w:rFonts w:cs="Calibri"/>
        </w:rPr>
      </w:pPr>
      <w:r w:rsidRPr="007A598F">
        <w:rPr>
          <w:rFonts w:cs="Calibri"/>
        </w:rPr>
        <w:t>Organizacijske vrijednosti:</w:t>
      </w:r>
    </w:p>
    <w:p w:rsidR="00024339" w:rsidRPr="007A598F" w:rsidRDefault="00024339" w:rsidP="00E22AD5">
      <w:pPr>
        <w:pStyle w:val="ListParagraph"/>
        <w:numPr>
          <w:ilvl w:val="0"/>
          <w:numId w:val="2"/>
        </w:numPr>
        <w:jc w:val="both"/>
        <w:rPr>
          <w:rFonts w:cs="Calibri"/>
        </w:rPr>
      </w:pPr>
      <w:r w:rsidRPr="007A598F">
        <w:rPr>
          <w:rFonts w:cs="Calibri"/>
        </w:rPr>
        <w:t xml:space="preserve">Profesionalnost: Posjedujemo potrebna znanja i vještine, obavljamo poslove predano, djelotvorno i odgovorno. </w:t>
      </w:r>
    </w:p>
    <w:p w:rsidR="00024339" w:rsidRPr="007A598F" w:rsidRDefault="00024339" w:rsidP="00E22AD5">
      <w:pPr>
        <w:pStyle w:val="ListParagraph"/>
        <w:numPr>
          <w:ilvl w:val="0"/>
          <w:numId w:val="2"/>
        </w:numPr>
        <w:jc w:val="both"/>
        <w:rPr>
          <w:rFonts w:cs="Calibri"/>
        </w:rPr>
      </w:pPr>
      <w:r w:rsidRPr="007A598F">
        <w:rPr>
          <w:rFonts w:cs="Calibri"/>
        </w:rPr>
        <w:t>Poštenje/etičnost: Poštujemo društvene i etičke norme, te dosljedno ispunjavamo preuzete obveze prema igračima, radnicima, vlasniku i društvenom okruženju.</w:t>
      </w:r>
    </w:p>
    <w:p w:rsidR="00024339" w:rsidRPr="007A598F" w:rsidRDefault="00024339" w:rsidP="00E22AD5">
      <w:pPr>
        <w:pStyle w:val="ListParagraph"/>
        <w:numPr>
          <w:ilvl w:val="0"/>
          <w:numId w:val="2"/>
        </w:numPr>
        <w:jc w:val="both"/>
        <w:rPr>
          <w:rFonts w:cs="Calibri"/>
        </w:rPr>
      </w:pPr>
      <w:r w:rsidRPr="007A598F">
        <w:rPr>
          <w:rFonts w:cs="Calibri"/>
        </w:rPr>
        <w:t>Društvena odgovornost: Svojim poslovanjem na društveno odgovoran način želimo uskladiti očekivanja igrača, zaposlenih, vlasnika i društvenog okruženja, te time doprinijeti ciljanom poboljšanju kvalitete življenja.</w:t>
      </w:r>
    </w:p>
    <w:p w:rsidR="004B199B" w:rsidRPr="00E63F96" w:rsidRDefault="00DD604F" w:rsidP="003A09B6">
      <w:pPr>
        <w:pStyle w:val="ListParagraph"/>
        <w:numPr>
          <w:ilvl w:val="0"/>
          <w:numId w:val="2"/>
        </w:numPr>
        <w:jc w:val="both"/>
        <w:rPr>
          <w:rFonts w:cs="Calibri"/>
        </w:rPr>
      </w:pPr>
      <w:r>
        <w:rPr>
          <w:rFonts w:cs="Calibri"/>
        </w:rPr>
        <w:t>Razvoj: Hrvatska Lutrija d.o.o.</w:t>
      </w:r>
      <w:r w:rsidR="00024339" w:rsidRPr="007A598F">
        <w:rPr>
          <w:rFonts w:cs="Calibri"/>
        </w:rPr>
        <w:t xml:space="preserve"> želi biti organizacija koja uči, potiče i omogućava razvoj radnika, usvajanje i širenje novih znanja, timski rad, otvorenu i jasnu komunikaciju, te kreativnost u funkciji indivi</w:t>
      </w:r>
      <w:r w:rsidR="00E63F96">
        <w:rPr>
          <w:rFonts w:cs="Calibri"/>
        </w:rPr>
        <w:t>dualnog i organizacijskog rasta</w:t>
      </w:r>
    </w:p>
    <w:p w:rsidR="004B199B" w:rsidRDefault="004B199B"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Default="000B5B60" w:rsidP="003A09B6">
      <w:pPr>
        <w:jc w:val="both"/>
        <w:rPr>
          <w:rFonts w:cs="Calibri"/>
        </w:rPr>
      </w:pPr>
    </w:p>
    <w:p w:rsidR="000B5B60" w:rsidRPr="007A598F" w:rsidRDefault="000B5B60" w:rsidP="003A09B6">
      <w:pPr>
        <w:jc w:val="both"/>
        <w:rPr>
          <w:rFonts w:cs="Calibri"/>
        </w:rPr>
      </w:pPr>
    </w:p>
    <w:p w:rsidR="003A09B6" w:rsidRPr="007A598F" w:rsidRDefault="003A09B6" w:rsidP="00E22AD5">
      <w:pPr>
        <w:pStyle w:val="Heading1"/>
        <w:numPr>
          <w:ilvl w:val="0"/>
          <w:numId w:val="1"/>
        </w:numPr>
        <w:ind w:left="0" w:firstLine="0"/>
        <w:jc w:val="both"/>
        <w:rPr>
          <w:rFonts w:ascii="Calibri" w:hAnsi="Calibri" w:cs="Calibri"/>
          <w:sz w:val="28"/>
          <w:szCs w:val="28"/>
        </w:rPr>
      </w:pPr>
      <w:r w:rsidRPr="007A598F">
        <w:rPr>
          <w:rFonts w:ascii="Calibri" w:hAnsi="Calibri" w:cs="Calibri"/>
          <w:sz w:val="28"/>
          <w:szCs w:val="28"/>
        </w:rPr>
        <w:t xml:space="preserve"> </w:t>
      </w:r>
      <w:bookmarkStart w:id="2" w:name="_Toc532299606"/>
      <w:r w:rsidR="004E4BB5">
        <w:rPr>
          <w:rFonts w:ascii="Calibri" w:hAnsi="Calibri" w:cs="Calibri"/>
          <w:sz w:val="28"/>
          <w:szCs w:val="28"/>
        </w:rPr>
        <w:t>PREGLED STRATEŠKOG OKRUŽENJA</w:t>
      </w:r>
      <w:bookmarkEnd w:id="2"/>
      <w:r w:rsidR="004E4BB5">
        <w:rPr>
          <w:rFonts w:ascii="Calibri" w:hAnsi="Calibri" w:cs="Calibri"/>
          <w:sz w:val="28"/>
          <w:szCs w:val="28"/>
        </w:rPr>
        <w:t xml:space="preserve"> </w:t>
      </w:r>
      <w:r w:rsidRPr="007A598F">
        <w:rPr>
          <w:rFonts w:ascii="Calibri" w:hAnsi="Calibri" w:cs="Calibri"/>
          <w:sz w:val="28"/>
          <w:szCs w:val="28"/>
        </w:rPr>
        <w:t xml:space="preserve"> </w:t>
      </w:r>
    </w:p>
    <w:p w:rsidR="006C73F1" w:rsidRPr="007A598F" w:rsidRDefault="006C73F1" w:rsidP="006C73F1">
      <w:pPr>
        <w:spacing w:after="0" w:line="240" w:lineRule="auto"/>
        <w:jc w:val="both"/>
        <w:rPr>
          <w:rFonts w:asciiTheme="minorHAnsi" w:hAnsiTheme="minorHAnsi" w:cstheme="minorHAnsi"/>
        </w:rPr>
      </w:pPr>
    </w:p>
    <w:p w:rsidR="00D55B93" w:rsidRPr="001346E2" w:rsidRDefault="00D55B93" w:rsidP="00D55B93">
      <w:pPr>
        <w:spacing w:after="0" w:line="240" w:lineRule="auto"/>
        <w:jc w:val="both"/>
        <w:rPr>
          <w:rFonts w:asciiTheme="minorHAnsi" w:hAnsiTheme="minorHAnsi" w:cstheme="minorHAnsi"/>
        </w:rPr>
      </w:pPr>
      <w:r w:rsidRPr="001346E2">
        <w:rPr>
          <w:rFonts w:asciiTheme="minorHAnsi" w:hAnsiTheme="minorHAnsi" w:cstheme="minorHAnsi"/>
        </w:rPr>
        <w:t>Promet i prihod igara na sreću uvelike će ovisiti o novim trendovima u svijetu igara, regulatornim čimbenicima, konkurenciji i demografskim promjenama.</w:t>
      </w:r>
    </w:p>
    <w:p w:rsidR="006C73F1" w:rsidRPr="007A598F" w:rsidRDefault="006C73F1" w:rsidP="006C73F1">
      <w:pPr>
        <w:spacing w:after="0" w:line="240" w:lineRule="auto"/>
        <w:ind w:left="644"/>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0E6264" w:rsidRPr="00174A1D" w:rsidRDefault="007A136F" w:rsidP="00174A1D">
      <w:pPr>
        <w:pStyle w:val="Heading1"/>
        <w:numPr>
          <w:ilvl w:val="1"/>
          <w:numId w:val="1"/>
        </w:numPr>
        <w:jc w:val="both"/>
        <w:rPr>
          <w:rFonts w:ascii="Calibri" w:hAnsi="Calibri" w:cs="Calibri"/>
          <w:sz w:val="28"/>
          <w:szCs w:val="28"/>
        </w:rPr>
      </w:pPr>
      <w:bookmarkStart w:id="3" w:name="_Toc532299607"/>
      <w:r w:rsidRPr="00174A1D">
        <w:rPr>
          <w:rFonts w:ascii="Calibri" w:hAnsi="Calibri" w:cs="Calibri"/>
          <w:sz w:val="28"/>
          <w:szCs w:val="28"/>
        </w:rPr>
        <w:t>Analiza tržišta i konkurencije</w:t>
      </w:r>
      <w:bookmarkEnd w:id="3"/>
    </w:p>
    <w:p w:rsidR="00174A1D" w:rsidRDefault="00174A1D" w:rsidP="004E4BB5">
      <w:pPr>
        <w:jc w:val="both"/>
        <w:rPr>
          <w:rFonts w:cs="Calibri"/>
        </w:rPr>
      </w:pPr>
    </w:p>
    <w:p w:rsidR="004E4BB5" w:rsidRPr="001D66C3" w:rsidRDefault="004E4BB5" w:rsidP="004E4BB5">
      <w:pPr>
        <w:jc w:val="both"/>
        <w:rPr>
          <w:rFonts w:cs="Calibri"/>
        </w:rPr>
      </w:pPr>
      <w:r w:rsidRPr="001D66C3">
        <w:rPr>
          <w:rFonts w:cs="Calibri"/>
        </w:rPr>
        <w:t>Hrvatska Lutrija priređuje igre na sreću u djelomično monopolističkom okruženju te tržišnom u segmentu igre klađenja i casino igara.</w:t>
      </w:r>
    </w:p>
    <w:p w:rsidR="004E4BB5" w:rsidRPr="001D66C3" w:rsidRDefault="004E4BB5" w:rsidP="004E4BB5">
      <w:pPr>
        <w:jc w:val="both"/>
        <w:rPr>
          <w:rFonts w:cs="Calibri"/>
          <w:b/>
        </w:rPr>
      </w:pPr>
      <w:r w:rsidRPr="001D66C3">
        <w:rPr>
          <w:rFonts w:cs="Calibri"/>
          <w:b/>
        </w:rPr>
        <w:t>Analiza tržišta klađenja i casina</w:t>
      </w:r>
    </w:p>
    <w:p w:rsidR="004E4BB5" w:rsidRPr="001D66C3" w:rsidRDefault="004E4BB5" w:rsidP="004E4BB5">
      <w:pPr>
        <w:jc w:val="both"/>
        <w:rPr>
          <w:rFonts w:cs="Calibri"/>
          <w:u w:val="single"/>
        </w:rPr>
      </w:pPr>
      <w:r w:rsidRPr="001D66C3">
        <w:rPr>
          <w:rFonts w:cs="Calibri"/>
          <w:u w:val="single"/>
        </w:rPr>
        <w:t>Igre klađenja (kladionice – uplatna mjesta, kladomati, online kladionice)</w:t>
      </w:r>
    </w:p>
    <w:p w:rsidR="004E4BB5" w:rsidRPr="001D66C3" w:rsidRDefault="004E4BB5" w:rsidP="000B5B60">
      <w:pPr>
        <w:rPr>
          <w:rFonts w:cs="Calibri"/>
        </w:rPr>
      </w:pPr>
      <w:r w:rsidRPr="001D66C3">
        <w:rPr>
          <w:rFonts w:cs="Calibri"/>
        </w:rPr>
        <w:t>U Republici Hrvatskoj igre klađenja priređuje ukupno 6 priređivača u 1.294 kladionica, na 3.297 kladomata te 5 priređivača priređuje igre klađenja putem inter</w:t>
      </w:r>
      <w:r>
        <w:rPr>
          <w:rFonts w:cs="Calibri"/>
        </w:rPr>
        <w:t>aktivnih</w:t>
      </w:r>
      <w:r w:rsidRPr="001D66C3">
        <w:rPr>
          <w:rFonts w:cs="Calibri"/>
        </w:rPr>
        <w:t xml:space="preserve"> prodajnih kanala online igranja.</w:t>
      </w:r>
    </w:p>
    <w:p w:rsidR="004E4BB5" w:rsidRPr="001D66C3" w:rsidRDefault="004E4BB5" w:rsidP="000B5B60">
      <w:pPr>
        <w:rPr>
          <w:rFonts w:cs="Calibri"/>
        </w:rPr>
      </w:pPr>
      <w:r w:rsidRPr="001D66C3">
        <w:rPr>
          <w:rFonts w:cs="Calibri"/>
        </w:rPr>
        <w:t>Ukupan udio Hrvatske Lutrije u broju uplatnih mjesta i kladomata je 14,5%.</w:t>
      </w:r>
    </w:p>
    <w:p w:rsidR="004E4BB5" w:rsidRDefault="004E4BB5" w:rsidP="000B5B60">
      <w:pPr>
        <w:rPr>
          <w:rFonts w:cs="Calibri"/>
        </w:rPr>
      </w:pPr>
      <w:r w:rsidRPr="001D66C3">
        <w:rPr>
          <w:rFonts w:cs="Calibri"/>
        </w:rPr>
        <w:lastRenderedPageBreak/>
        <w:t>Osim legalnih priređivača i dalje su na tržištu prisutni nelegalni priređivači na igrama putem interneta.</w:t>
      </w:r>
    </w:p>
    <w:p w:rsidR="00EB7AD8" w:rsidRPr="001D66C3" w:rsidRDefault="00EB7AD8" w:rsidP="000B5B60">
      <w:pPr>
        <w:rPr>
          <w:rFonts w:cs="Calibri"/>
        </w:rPr>
      </w:pPr>
    </w:p>
    <w:p w:rsidR="004E4BB5" w:rsidRPr="001D66C3" w:rsidRDefault="004E4BB5" w:rsidP="004E4BB5">
      <w:pPr>
        <w:jc w:val="both"/>
        <w:rPr>
          <w:color w:val="FF0000"/>
        </w:rPr>
      </w:pPr>
      <w:r w:rsidRPr="001D66C3">
        <w:rPr>
          <w:noProof/>
        </w:rPr>
        <w:drawing>
          <wp:inline distT="0" distB="0" distL="0" distR="0" wp14:anchorId="75E29E89" wp14:editId="11E8EDD3">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D05DC" w:rsidRPr="001346E2" w:rsidRDefault="008D05DC" w:rsidP="008D05DC">
      <w:pPr>
        <w:jc w:val="both"/>
        <w:rPr>
          <w:rFonts w:asciiTheme="minorHAnsi" w:hAnsiTheme="minorHAnsi" w:cstheme="minorHAnsi"/>
          <w:color w:val="FF0000"/>
        </w:rPr>
      </w:pPr>
      <w:r w:rsidRPr="001346E2">
        <w:rPr>
          <w:rFonts w:asciiTheme="minorHAnsi" w:hAnsiTheme="minorHAnsi" w:cstheme="minorHAnsi"/>
          <w:noProof/>
        </w:rPr>
        <w:drawing>
          <wp:inline distT="0" distB="0" distL="0" distR="0" wp14:anchorId="2E08A447" wp14:editId="1C92F610">
            <wp:extent cx="5657850" cy="2743200"/>
            <wp:effectExtent l="0" t="0" r="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D05DC" w:rsidRPr="001346E2" w:rsidRDefault="008D05DC" w:rsidP="000B5B60">
      <w:pPr>
        <w:jc w:val="both"/>
        <w:rPr>
          <w:rFonts w:asciiTheme="minorHAnsi" w:hAnsiTheme="minorHAnsi" w:cstheme="minorHAnsi"/>
        </w:rPr>
      </w:pPr>
      <w:r w:rsidRPr="001346E2">
        <w:rPr>
          <w:rFonts w:asciiTheme="minorHAnsi" w:hAnsiTheme="minorHAnsi" w:cstheme="minorHAnsi"/>
        </w:rPr>
        <w:t>Povijesno, Hrvatska Lutrija od početaka priređivanja igara klađenja gotovo uvijek je imala niži postotni prihod od prihoda cijelog tržišta. Promatrajući gornji graf, vidljivo je da je najveća razlika u postotnom prihodu bila do 2011. godine. Najznačajniji utjecaj na smanjenje razlike nakon 2010. godine bilo je uvođenje loto klađenja, igre koja donosi znatno veći postotni prihod od sport</w:t>
      </w:r>
      <w:r w:rsidR="00DD604F">
        <w:rPr>
          <w:rFonts w:asciiTheme="minorHAnsi" w:hAnsiTheme="minorHAnsi" w:cstheme="minorHAnsi"/>
        </w:rPr>
        <w:t>skog klađenja. U 2014. godini Hrvatska Lutrija</w:t>
      </w:r>
      <w:r w:rsidRPr="001346E2">
        <w:rPr>
          <w:rFonts w:asciiTheme="minorHAnsi" w:hAnsiTheme="minorHAnsi" w:cstheme="minorHAnsi"/>
        </w:rPr>
        <w:t xml:space="preserve"> se izjednačila s tržištem. U tom periodu klađenje uživo već je postalo zn</w:t>
      </w:r>
      <w:r w:rsidR="00DD604F">
        <w:rPr>
          <w:rFonts w:asciiTheme="minorHAnsi" w:hAnsiTheme="minorHAnsi" w:cstheme="minorHAnsi"/>
        </w:rPr>
        <w:t>ačajan proizvod na tržištu, a Hrvatska Lutrija</w:t>
      </w:r>
      <w:r w:rsidRPr="001346E2">
        <w:rPr>
          <w:rFonts w:asciiTheme="minorHAnsi" w:hAnsiTheme="minorHAnsi" w:cstheme="minorHAnsi"/>
        </w:rPr>
        <w:t xml:space="preserve"> ga nije priređivala (zbog serije neuspješnih javnih nabava). Kako igra klađenja uživo donosi manji postotni prihod (u to vrijeme vjerojatno i zamjetno manji nego danas – live modeli se i dalje dorađuju, uz veći udio single uplata nego danas), tako je naš veliki nedostatak jednim </w:t>
      </w:r>
      <w:r w:rsidRPr="001346E2">
        <w:rPr>
          <w:rFonts w:asciiTheme="minorHAnsi" w:hAnsiTheme="minorHAnsi" w:cstheme="minorHAnsi"/>
        </w:rPr>
        <w:lastRenderedPageBreak/>
        <w:t>dijelom utjecao na relativno bolji postotni prihod. Na</w:t>
      </w:r>
      <w:r w:rsidR="00DD604F">
        <w:rPr>
          <w:rFonts w:asciiTheme="minorHAnsi" w:hAnsiTheme="minorHAnsi" w:cstheme="minorHAnsi"/>
        </w:rPr>
        <w:t>kon uvođenja klađenja uživo u ponudu Hrvatske Lutrije</w:t>
      </w:r>
      <w:r w:rsidRPr="001346E2">
        <w:rPr>
          <w:rFonts w:asciiTheme="minorHAnsi" w:hAnsiTheme="minorHAnsi" w:cstheme="minorHAnsi"/>
        </w:rPr>
        <w:t>, 2015. godine, linije na grafu ponovno se odvajaju.</w:t>
      </w:r>
    </w:p>
    <w:p w:rsidR="008D05DC" w:rsidRPr="001346E2" w:rsidRDefault="008D05DC" w:rsidP="008D05DC">
      <w:pPr>
        <w:rPr>
          <w:rFonts w:asciiTheme="minorHAnsi" w:hAnsiTheme="minorHAnsi" w:cstheme="minorHAnsi"/>
        </w:rPr>
      </w:pPr>
      <w:r w:rsidRPr="001346E2">
        <w:rPr>
          <w:rFonts w:asciiTheme="minorHAnsi" w:hAnsiTheme="minorHAnsi" w:cstheme="minorHAnsi"/>
        </w:rPr>
        <w:t xml:space="preserve">Postoji više </w:t>
      </w:r>
      <w:r w:rsidR="00DD604F">
        <w:rPr>
          <w:rFonts w:asciiTheme="minorHAnsi" w:hAnsiTheme="minorHAnsi" w:cstheme="minorHAnsi"/>
        </w:rPr>
        <w:t>razloga koji mogu utjecati da Hrvatska Lutrija</w:t>
      </w:r>
      <w:r w:rsidRPr="001346E2">
        <w:rPr>
          <w:rFonts w:asciiTheme="minorHAnsi" w:hAnsiTheme="minorHAnsi" w:cstheme="minorHAnsi"/>
        </w:rPr>
        <w:t xml:space="preserve"> kontinuirano bilježi niži postotni prihod: </w:t>
      </w:r>
    </w:p>
    <w:p w:rsidR="008D05DC" w:rsidRPr="001346E2" w:rsidRDefault="008D05DC" w:rsidP="008D05DC">
      <w:pPr>
        <w:spacing w:after="0" w:line="240" w:lineRule="auto"/>
        <w:jc w:val="both"/>
        <w:rPr>
          <w:rFonts w:asciiTheme="minorHAnsi" w:hAnsiTheme="minorHAnsi" w:cstheme="minorHAnsi"/>
        </w:rPr>
      </w:pPr>
      <w:r w:rsidRPr="001346E2">
        <w:rPr>
          <w:rFonts w:asciiTheme="minorHAnsi" w:hAnsiTheme="minorHAnsi" w:cstheme="minorHAnsi"/>
          <w:b/>
        </w:rPr>
        <w:t>Struktura igrača</w:t>
      </w:r>
      <w:r w:rsidRPr="001346E2">
        <w:rPr>
          <w:rFonts w:asciiTheme="minorHAnsi" w:hAnsiTheme="minorHAnsi" w:cstheme="minorHAnsi"/>
        </w:rPr>
        <w:t xml:space="preserve"> – postotni prihod pojedinih kladionica (i u Hrvatskoj i globalno) najviše ovisi o stilu igre igrača kladionice. Primjerice, azijske kladionice bilježe vrlo nizak postotni prihod (oko 1%) jer je stil igre uglavnom singl uplata. I u Hrvatskoj razlike u strukturi igrača među kladionicama su značajne – pritom veliki igrači više-manje igraju u svim kladionicama, a mali, najpoželjniji igrači nažalost u većoj mjeri uplaćuju kod ko</w:t>
      </w:r>
      <w:r w:rsidR="00DD604F">
        <w:rPr>
          <w:rFonts w:asciiTheme="minorHAnsi" w:hAnsiTheme="minorHAnsi" w:cstheme="minorHAnsi"/>
        </w:rPr>
        <w:t>nkurentskih kladionica nego u Hrvatskoj Lutriji</w:t>
      </w:r>
      <w:r w:rsidRPr="001346E2">
        <w:rPr>
          <w:rFonts w:asciiTheme="minorHAnsi" w:hAnsiTheme="minorHAnsi" w:cstheme="minorHAnsi"/>
        </w:rPr>
        <w:t>.  Veliki igrači najčešće igraju na manji broj parova što nosi niži postotni prihod. Glavni ra</w:t>
      </w:r>
      <w:r w:rsidR="00DD604F">
        <w:rPr>
          <w:rFonts w:asciiTheme="minorHAnsi" w:hAnsiTheme="minorHAnsi" w:cstheme="minorHAnsi"/>
        </w:rPr>
        <w:t>zlozi lošije strukture igrača Hrvatske Lutrije</w:t>
      </w:r>
      <w:r w:rsidRPr="001346E2">
        <w:rPr>
          <w:rFonts w:asciiTheme="minorHAnsi" w:hAnsiTheme="minorHAnsi" w:cstheme="minorHAnsi"/>
        </w:rPr>
        <w:t xml:space="preserve"> su poznati: lošija web stranica (radi se na redizajnu) te prodajna mjesta koja su u prosjeku lošije uređena od konkurentskih. Također, problem je i dizajnom manje atraktivan kladomat te mobilna aplikacija koja se</w:t>
      </w:r>
      <w:r w:rsidR="00DD604F">
        <w:rPr>
          <w:rFonts w:asciiTheme="minorHAnsi" w:hAnsiTheme="minorHAnsi" w:cstheme="minorHAnsi"/>
        </w:rPr>
        <w:t xml:space="preserve"> ne razvija. U zadnje vrijeme Hrvatska Lutrija</w:t>
      </w:r>
      <w:r w:rsidRPr="001346E2">
        <w:rPr>
          <w:rFonts w:asciiTheme="minorHAnsi" w:hAnsiTheme="minorHAnsi" w:cstheme="minorHAnsi"/>
        </w:rPr>
        <w:t xml:space="preserve"> je učinila značajan iskorak u privlačenju novih malih igrača (bonusiranje, cross-sell akcije), međutim, tek kontinuiranim priređivanjem takvih akcija, uz rješavanje nedostataka na interaktivnim kanalima prodaje, moguće je dugoročno poboljšati strukturu igrača.</w:t>
      </w:r>
    </w:p>
    <w:p w:rsidR="008D05DC" w:rsidRPr="001346E2" w:rsidRDefault="008D05DC" w:rsidP="008D05DC">
      <w:pPr>
        <w:spacing w:after="0" w:line="240" w:lineRule="auto"/>
        <w:jc w:val="both"/>
        <w:rPr>
          <w:rFonts w:asciiTheme="minorHAnsi" w:hAnsiTheme="minorHAnsi" w:cstheme="minorHAnsi"/>
        </w:rPr>
      </w:pPr>
      <w:r w:rsidRPr="001346E2">
        <w:rPr>
          <w:rFonts w:asciiTheme="minorHAnsi" w:hAnsiTheme="minorHAnsi" w:cstheme="minorHAnsi"/>
          <w:b/>
        </w:rPr>
        <w:t>Koeficijenti</w:t>
      </w:r>
      <w:r w:rsidR="00DD604F">
        <w:rPr>
          <w:rFonts w:asciiTheme="minorHAnsi" w:hAnsiTheme="minorHAnsi" w:cstheme="minorHAnsi"/>
        </w:rPr>
        <w:t xml:space="preserve"> – Hrvatska Lutrija</w:t>
      </w:r>
      <w:r w:rsidRPr="001346E2">
        <w:rPr>
          <w:rFonts w:asciiTheme="minorHAnsi" w:hAnsiTheme="minorHAnsi" w:cstheme="minorHAnsi"/>
        </w:rPr>
        <w:t xml:space="preserve"> je od svojih početaka pa do danas svoju konkurentnost ponajviše tražila u koeficijentima jer smo zaostajali u drugim područjima</w:t>
      </w:r>
      <w:r w:rsidR="00DD604F">
        <w:rPr>
          <w:rFonts w:asciiTheme="minorHAnsi" w:hAnsiTheme="minorHAnsi" w:cstheme="minorHAnsi"/>
        </w:rPr>
        <w:t xml:space="preserve"> konkurentnosti. Tako i danas Hrvatska Lutrija</w:t>
      </w:r>
      <w:r w:rsidRPr="001346E2">
        <w:rPr>
          <w:rFonts w:asciiTheme="minorHAnsi" w:hAnsiTheme="minorHAnsi" w:cstheme="minorHAnsi"/>
        </w:rPr>
        <w:t xml:space="preserve"> u prosjeku ima više bonus parova i povoljnija pravila igranja HL+ događaja od konkurencije. Cijena te konkurentnosti je smanjivanje postotnog prihoda. Sličan primjer zabilježen je u Italiji, gdje Bet365 zbog pokušaja privlačenja igrača ima višestruko manji tržišni udio u prihodu u odnosu na onaj u prometu.</w:t>
      </w:r>
    </w:p>
    <w:p w:rsidR="008D05DC" w:rsidRPr="001346E2" w:rsidRDefault="008D05DC" w:rsidP="008D05DC">
      <w:pPr>
        <w:spacing w:after="0" w:line="240" w:lineRule="auto"/>
        <w:jc w:val="both"/>
        <w:rPr>
          <w:rFonts w:asciiTheme="minorHAnsi" w:hAnsiTheme="minorHAnsi" w:cstheme="minorHAnsi"/>
        </w:rPr>
      </w:pPr>
      <w:r w:rsidRPr="001346E2">
        <w:rPr>
          <w:rFonts w:asciiTheme="minorHAnsi" w:hAnsiTheme="minorHAnsi" w:cstheme="minorHAnsi"/>
          <w:b/>
        </w:rPr>
        <w:t>Struktura prometa po igrama klađenja</w:t>
      </w:r>
      <w:r w:rsidRPr="001346E2">
        <w:rPr>
          <w:rFonts w:asciiTheme="minorHAnsi" w:hAnsiTheme="minorHAnsi" w:cstheme="minorHAnsi"/>
        </w:rPr>
        <w:t xml:space="preserve"> – nemamo podatke o </w:t>
      </w:r>
      <w:r w:rsidR="00DD604F">
        <w:rPr>
          <w:rFonts w:asciiTheme="minorHAnsi" w:hAnsiTheme="minorHAnsi" w:cstheme="minorHAnsi"/>
        </w:rPr>
        <w:t>strukturi prometa</w:t>
      </w:r>
      <w:r w:rsidRPr="001346E2">
        <w:rPr>
          <w:rFonts w:asciiTheme="minorHAnsi" w:hAnsiTheme="minorHAnsi" w:cstheme="minorHAnsi"/>
        </w:rPr>
        <w:t xml:space="preserve"> po igrama za tržište RH. Međutim, sigurno je da na tržištu RH virtualno klađenje </w:t>
      </w:r>
      <w:r w:rsidR="00DD604F">
        <w:rPr>
          <w:rFonts w:asciiTheme="minorHAnsi" w:hAnsiTheme="minorHAnsi" w:cstheme="minorHAnsi"/>
        </w:rPr>
        <w:t>ima značajno veći udio nego u Hrvatskoj Lutriji</w:t>
      </w:r>
      <w:r w:rsidRPr="001346E2">
        <w:rPr>
          <w:rFonts w:asciiTheme="minorHAnsi" w:hAnsiTheme="minorHAnsi" w:cstheme="minorHAnsi"/>
        </w:rPr>
        <w:t xml:space="preserve"> (1,7 promila). S obzirom da je postotni ostatak na virtualnim igrama u pravilu veći od ukupnog ostatka za sve igre, nedostatak virtualnog klađenja na webu utječe na niži postotni ostatak Kladionice H</w:t>
      </w:r>
      <w:r w:rsidR="00DD604F">
        <w:rPr>
          <w:rFonts w:asciiTheme="minorHAnsi" w:hAnsiTheme="minorHAnsi" w:cstheme="minorHAnsi"/>
        </w:rPr>
        <w:t>rvatske Lutrije</w:t>
      </w:r>
      <w:r w:rsidRPr="001346E2">
        <w:rPr>
          <w:rFonts w:asciiTheme="minorHAnsi" w:hAnsiTheme="minorHAnsi" w:cstheme="minorHAnsi"/>
        </w:rPr>
        <w:t>.</w:t>
      </w:r>
    </w:p>
    <w:p w:rsidR="008D05DC" w:rsidRPr="001346E2" w:rsidRDefault="008D05DC" w:rsidP="008D05DC">
      <w:pPr>
        <w:jc w:val="both"/>
        <w:rPr>
          <w:rFonts w:asciiTheme="minorHAnsi" w:hAnsiTheme="minorHAnsi" w:cstheme="minorHAnsi"/>
          <w:color w:val="FF0000"/>
        </w:rPr>
      </w:pPr>
    </w:p>
    <w:p w:rsidR="008D05DC" w:rsidRPr="001346E2" w:rsidRDefault="008D05DC" w:rsidP="008D05DC">
      <w:pPr>
        <w:ind w:left="567" w:hanging="567"/>
        <w:jc w:val="both"/>
        <w:rPr>
          <w:rFonts w:asciiTheme="minorHAnsi" w:hAnsiTheme="minorHAnsi" w:cstheme="minorHAnsi"/>
        </w:rPr>
      </w:pPr>
      <w:r w:rsidRPr="001346E2">
        <w:rPr>
          <w:rFonts w:asciiTheme="minorHAnsi" w:hAnsiTheme="minorHAnsi" w:cstheme="minorHAnsi"/>
          <w:noProof/>
        </w:rPr>
        <w:drawing>
          <wp:inline distT="0" distB="0" distL="0" distR="0" wp14:anchorId="4CF6751D" wp14:editId="25F7C74F">
            <wp:extent cx="5657850" cy="2743200"/>
            <wp:effectExtent l="0" t="0" r="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D05DC" w:rsidRPr="001346E2" w:rsidRDefault="008D05DC" w:rsidP="008D05DC">
      <w:pPr>
        <w:jc w:val="both"/>
        <w:rPr>
          <w:rFonts w:asciiTheme="minorHAnsi" w:hAnsiTheme="minorHAnsi" w:cstheme="minorHAnsi"/>
        </w:rPr>
      </w:pPr>
      <w:r w:rsidRPr="001346E2">
        <w:rPr>
          <w:rFonts w:asciiTheme="minorHAnsi" w:hAnsiTheme="minorHAnsi" w:cstheme="minorHAnsi"/>
        </w:rPr>
        <w:lastRenderedPageBreak/>
        <w:t>U najvećoj mjeri zahvaljujući pr</w:t>
      </w:r>
      <w:r w:rsidR="00DD604F">
        <w:rPr>
          <w:rFonts w:asciiTheme="minorHAnsi" w:hAnsiTheme="minorHAnsi" w:cstheme="minorHAnsi"/>
        </w:rPr>
        <w:t>odajno-marketinškim akcijama, Hrvatska Lutrija</w:t>
      </w:r>
      <w:r w:rsidRPr="001346E2">
        <w:rPr>
          <w:rFonts w:asciiTheme="minorHAnsi" w:hAnsiTheme="minorHAnsi" w:cstheme="minorHAnsi"/>
        </w:rPr>
        <w:t xml:space="preserve"> bilježi rast tržišnog udjela. </w:t>
      </w:r>
    </w:p>
    <w:p w:rsidR="004E4BB5" w:rsidRPr="00E63F96" w:rsidRDefault="008D05DC" w:rsidP="004E4BB5">
      <w:pPr>
        <w:jc w:val="both"/>
        <w:rPr>
          <w:rFonts w:asciiTheme="minorHAnsi" w:hAnsiTheme="minorHAnsi" w:cstheme="minorHAnsi"/>
        </w:rPr>
      </w:pPr>
      <w:r w:rsidRPr="001346E2">
        <w:rPr>
          <w:rFonts w:asciiTheme="minorHAnsi" w:hAnsiTheme="minorHAnsi" w:cstheme="minorHAnsi"/>
        </w:rPr>
        <w:t>Nastavak rasta udjela u narednom periodu bit će moguć isključivo u slučaju povećanja kvalitete proizvo</w:t>
      </w:r>
      <w:r w:rsidR="00E63F96">
        <w:rPr>
          <w:rFonts w:asciiTheme="minorHAnsi" w:hAnsiTheme="minorHAnsi" w:cstheme="minorHAnsi"/>
        </w:rPr>
        <w:t>da, na čemu se intenzivno radi.</w:t>
      </w:r>
    </w:p>
    <w:p w:rsidR="004E4BB5" w:rsidRPr="001D66C3" w:rsidRDefault="004E4BB5" w:rsidP="004E4BB5">
      <w:pPr>
        <w:jc w:val="both"/>
        <w:rPr>
          <w:rFonts w:cs="Calibri"/>
          <w:u w:val="single"/>
        </w:rPr>
      </w:pPr>
    </w:p>
    <w:p w:rsidR="004E4BB5" w:rsidRPr="001D66C3" w:rsidRDefault="004E4BB5" w:rsidP="004E4BB5">
      <w:pPr>
        <w:jc w:val="both"/>
        <w:rPr>
          <w:rFonts w:cs="Calibri"/>
          <w:u w:val="single"/>
        </w:rPr>
      </w:pPr>
      <w:r w:rsidRPr="001D66C3">
        <w:rPr>
          <w:rFonts w:cs="Calibri"/>
          <w:u w:val="single"/>
        </w:rPr>
        <w:t>Casino igre (automat klubovi, automati na prodajnim mjestima, casina i online casina)</w:t>
      </w:r>
    </w:p>
    <w:p w:rsidR="004E4BB5" w:rsidRPr="001D66C3" w:rsidRDefault="004E4BB5" w:rsidP="004E4BB5">
      <w:pPr>
        <w:jc w:val="both"/>
        <w:rPr>
          <w:rFonts w:cs="Calibri"/>
        </w:rPr>
      </w:pPr>
      <w:r w:rsidRPr="001D66C3">
        <w:rPr>
          <w:rFonts w:cs="Calibri"/>
        </w:rPr>
        <w:t>U Republici Hrvatskoj igre na sreću na automatima priređuje ukupno 39 priređivača u 279 automat klubova, casino igre 15 priređivača u 21 casinu te 4 priređivača priređuje igre na sreću u casinima putem intera</w:t>
      </w:r>
      <w:r>
        <w:rPr>
          <w:rFonts w:cs="Calibri"/>
        </w:rPr>
        <w:t>ktivnih</w:t>
      </w:r>
      <w:r w:rsidRPr="001D66C3">
        <w:rPr>
          <w:rFonts w:cs="Calibri"/>
        </w:rPr>
        <w:t xml:space="preserve"> prodajnih kanala online igranja.</w:t>
      </w:r>
    </w:p>
    <w:p w:rsidR="004E4BB5" w:rsidRPr="001D66C3" w:rsidRDefault="004E4BB5" w:rsidP="004E4BB5">
      <w:pPr>
        <w:jc w:val="both"/>
        <w:rPr>
          <w:rFonts w:cs="Calibri"/>
        </w:rPr>
      </w:pPr>
      <w:r w:rsidRPr="001D66C3">
        <w:rPr>
          <w:rFonts w:cs="Calibri"/>
        </w:rPr>
        <w:t>Udio Hrvatske Lutrije u broju automata za igre na sreću u automat klubovima je 2%, u broju automata na prodajnim mjestima 7,3%, u casinu (online i offline) 6,5%. Ukupan udio u broju automata za igre na sreću je 3,41%, a u broju stolova za igre na sreću 4,44% (online i offline).</w:t>
      </w:r>
    </w:p>
    <w:p w:rsidR="004E4BB5" w:rsidRPr="001D66C3" w:rsidRDefault="004E4BB5" w:rsidP="004E4BB5">
      <w:pPr>
        <w:jc w:val="both"/>
        <w:rPr>
          <w:rFonts w:cs="Calibri"/>
        </w:rPr>
      </w:pPr>
      <w:r w:rsidRPr="001D66C3">
        <w:rPr>
          <w:rFonts w:cs="Calibri"/>
        </w:rPr>
        <w:t>Osim legalnih priređivača i dalje su na tržištu prisutni nelegalni priređivači, kako na zemaljskim lokacijama tako i na igrama putem interneta.</w:t>
      </w:r>
    </w:p>
    <w:p w:rsidR="004E4BB5" w:rsidRPr="001D66C3" w:rsidRDefault="004E4BB5" w:rsidP="004E4BB5">
      <w:pPr>
        <w:jc w:val="both"/>
        <w:rPr>
          <w:rFonts w:cs="Calibri"/>
        </w:rPr>
      </w:pPr>
      <w:r w:rsidRPr="001D66C3">
        <w:rPr>
          <w:rFonts w:cs="Calibri"/>
        </w:rPr>
        <w:t>Obzirom na značaj internet casina, u grafovima je prikazan samo icasino. Dolazak legalne konkurencije pridonio je porastu uplata i prihoda, što može značiti da su legalni priređivači zajedničkim aktivnostima privukli igrače koji su prije igrali kod nelegalnih priređivača.</w:t>
      </w:r>
    </w:p>
    <w:p w:rsidR="004E4BB5" w:rsidRPr="001D66C3" w:rsidRDefault="004E4BB5" w:rsidP="004E4BB5">
      <w:pPr>
        <w:jc w:val="both"/>
        <w:rPr>
          <w:rFonts w:cs="Calibri"/>
        </w:rPr>
      </w:pPr>
      <w:r w:rsidRPr="001D66C3">
        <w:rPr>
          <w:rFonts w:cs="Calibri"/>
          <w:noProof/>
        </w:rPr>
        <w:drawing>
          <wp:inline distT="0" distB="0" distL="0" distR="0" wp14:anchorId="618D32F2" wp14:editId="00E86774">
            <wp:extent cx="5619750" cy="31432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E4BB5" w:rsidRPr="001D66C3" w:rsidRDefault="004E4BB5" w:rsidP="004E4BB5">
      <w:pPr>
        <w:pStyle w:val="Default"/>
        <w:rPr>
          <w:color w:val="FF0000"/>
          <w:sz w:val="22"/>
          <w:szCs w:val="22"/>
        </w:rPr>
      </w:pPr>
      <w:r w:rsidRPr="001D66C3">
        <w:rPr>
          <w:noProof/>
          <w:lang w:eastAsia="hr-HR"/>
        </w:rPr>
        <w:lastRenderedPageBreak/>
        <w:drawing>
          <wp:inline distT="0" distB="0" distL="0" distR="0" wp14:anchorId="6ED57214" wp14:editId="0D86582A">
            <wp:extent cx="5619750" cy="32861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E4BB5" w:rsidRPr="001D66C3" w:rsidRDefault="004E4BB5" w:rsidP="004E4BB5">
      <w:pPr>
        <w:pStyle w:val="Default"/>
        <w:rPr>
          <w:color w:val="FF0000"/>
          <w:sz w:val="22"/>
          <w:szCs w:val="22"/>
        </w:rPr>
      </w:pPr>
    </w:p>
    <w:p w:rsidR="004E4BB5" w:rsidRPr="001D66C3" w:rsidRDefault="004E4BB5" w:rsidP="004E4BB5">
      <w:pPr>
        <w:pStyle w:val="Default"/>
        <w:rPr>
          <w:color w:val="FF0000"/>
          <w:sz w:val="22"/>
          <w:szCs w:val="22"/>
        </w:rPr>
      </w:pPr>
    </w:p>
    <w:p w:rsidR="004E4BB5" w:rsidRPr="001D66C3" w:rsidRDefault="004E4BB5" w:rsidP="004E4BB5">
      <w:pPr>
        <w:pStyle w:val="Default"/>
        <w:spacing w:after="134"/>
        <w:rPr>
          <w:rFonts w:asciiTheme="minorHAnsi" w:hAnsiTheme="minorHAnsi" w:cstheme="minorHAnsi"/>
          <w:sz w:val="22"/>
          <w:szCs w:val="22"/>
          <w:lang w:eastAsia="hr-HR"/>
        </w:rPr>
      </w:pPr>
      <w:r w:rsidRPr="001D66C3">
        <w:rPr>
          <w:rFonts w:asciiTheme="minorHAnsi" w:hAnsiTheme="minorHAnsi" w:cstheme="minorHAnsi"/>
          <w:sz w:val="22"/>
          <w:szCs w:val="22"/>
          <w:lang w:eastAsia="hr-HR"/>
        </w:rPr>
        <w:t>Trendovi i navike igrača prate svjetske trendove te se udio odigravanja igara na sreću putem interneta pove</w:t>
      </w:r>
      <w:r w:rsidR="00DD604F">
        <w:rPr>
          <w:rFonts w:asciiTheme="minorHAnsi" w:hAnsiTheme="minorHAnsi" w:cstheme="minorHAnsi"/>
          <w:sz w:val="22"/>
          <w:szCs w:val="22"/>
          <w:lang w:eastAsia="hr-HR"/>
        </w:rPr>
        <w:t>ćava i to posebno putem mobilnih uređaja</w:t>
      </w:r>
      <w:r w:rsidRPr="001D66C3">
        <w:rPr>
          <w:rFonts w:asciiTheme="minorHAnsi" w:hAnsiTheme="minorHAnsi" w:cstheme="minorHAnsi"/>
          <w:sz w:val="22"/>
          <w:szCs w:val="22"/>
          <w:lang w:eastAsia="hr-HR"/>
        </w:rPr>
        <w:t>.</w:t>
      </w:r>
    </w:p>
    <w:p w:rsidR="004E4BB5" w:rsidRPr="001D66C3" w:rsidRDefault="004E4BB5" w:rsidP="004E4BB5">
      <w:pPr>
        <w:pStyle w:val="Default"/>
        <w:spacing w:after="134"/>
        <w:rPr>
          <w:rFonts w:asciiTheme="minorHAnsi" w:hAnsiTheme="minorHAnsi" w:cstheme="minorHAnsi"/>
          <w:color w:val="FF0000"/>
          <w:sz w:val="22"/>
          <w:szCs w:val="22"/>
        </w:rPr>
      </w:pPr>
      <w:r w:rsidRPr="001D66C3">
        <w:rPr>
          <w:noProof/>
          <w:lang w:eastAsia="hr-HR"/>
        </w:rPr>
        <w:drawing>
          <wp:inline distT="0" distB="0" distL="0" distR="0" wp14:anchorId="75F0FBAD" wp14:editId="38F4136F">
            <wp:extent cx="6120765" cy="2765145"/>
            <wp:effectExtent l="0" t="0" r="13335" b="16510"/>
            <wp:docPr id="12" name="Chart 12">
              <a:extLst xmlns:a="http://schemas.openxmlformats.org/drawingml/2006/main">
                <a:ext uri="{FF2B5EF4-FFF2-40B4-BE49-F238E27FC236}">
                  <a16:creationId xmlns:a16="http://schemas.microsoft.com/office/drawing/2014/main" id="{C3011108-95DB-4EEB-9379-9DF5168C7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B199B" w:rsidRDefault="004B199B" w:rsidP="006C73F1">
      <w:pPr>
        <w:spacing w:after="0" w:line="240" w:lineRule="auto"/>
        <w:jc w:val="both"/>
        <w:rPr>
          <w:rFonts w:asciiTheme="minorHAnsi" w:hAnsiTheme="minorHAnsi" w:cstheme="minorHAnsi"/>
        </w:rPr>
      </w:pPr>
    </w:p>
    <w:p w:rsidR="00E63F96" w:rsidRDefault="00E63F96" w:rsidP="002B3D88">
      <w:pPr>
        <w:spacing w:after="0" w:line="240" w:lineRule="auto"/>
        <w:jc w:val="both"/>
        <w:rPr>
          <w:rFonts w:asciiTheme="minorHAnsi" w:hAnsiTheme="minorHAnsi" w:cstheme="minorHAnsi"/>
        </w:rPr>
      </w:pPr>
    </w:p>
    <w:p w:rsidR="00220B0F" w:rsidRDefault="007A136F" w:rsidP="00174A1D">
      <w:pPr>
        <w:pStyle w:val="Heading1"/>
        <w:numPr>
          <w:ilvl w:val="1"/>
          <w:numId w:val="1"/>
        </w:numPr>
        <w:jc w:val="both"/>
        <w:rPr>
          <w:rFonts w:ascii="Calibri" w:hAnsi="Calibri" w:cs="Calibri"/>
          <w:sz w:val="28"/>
          <w:szCs w:val="28"/>
        </w:rPr>
      </w:pPr>
      <w:bookmarkStart w:id="4" w:name="_Toc532299608"/>
      <w:r w:rsidRPr="00174A1D">
        <w:rPr>
          <w:rFonts w:ascii="Calibri" w:hAnsi="Calibri" w:cs="Calibri"/>
          <w:sz w:val="28"/>
          <w:szCs w:val="28"/>
        </w:rPr>
        <w:t>Analiza strateških rizika</w:t>
      </w:r>
      <w:bookmarkEnd w:id="4"/>
    </w:p>
    <w:p w:rsidR="00174A1D" w:rsidRPr="00174A1D" w:rsidRDefault="00174A1D" w:rsidP="00174A1D">
      <w:pPr>
        <w:rPr>
          <w:rFonts w:eastAsia="SimSun"/>
        </w:rPr>
      </w:pPr>
    </w:p>
    <w:p w:rsidR="00220B0F" w:rsidRDefault="00220B0F" w:rsidP="00220B0F">
      <w:pPr>
        <w:spacing w:after="0" w:line="240" w:lineRule="auto"/>
        <w:jc w:val="both"/>
        <w:rPr>
          <w:rFonts w:asciiTheme="minorHAnsi" w:hAnsiTheme="minorHAnsi" w:cstheme="minorHAnsi"/>
        </w:rPr>
      </w:pPr>
    </w:p>
    <w:tbl>
      <w:tblPr>
        <w:tblStyle w:val="GridTable1Light-Accent1"/>
        <w:tblW w:w="0" w:type="auto"/>
        <w:tblLook w:val="04A0" w:firstRow="1" w:lastRow="0" w:firstColumn="1" w:lastColumn="0" w:noHBand="0" w:noVBand="1"/>
      </w:tblPr>
      <w:tblGrid>
        <w:gridCol w:w="561"/>
        <w:gridCol w:w="2836"/>
        <w:gridCol w:w="3828"/>
        <w:gridCol w:w="1392"/>
        <w:gridCol w:w="1012"/>
      </w:tblGrid>
      <w:tr w:rsidR="00220B0F" w:rsidTr="00E63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gridSpan w:val="2"/>
          </w:tcPr>
          <w:p w:rsidR="00220B0F" w:rsidRDefault="00220B0F" w:rsidP="00220B0F">
            <w:pPr>
              <w:jc w:val="both"/>
              <w:rPr>
                <w:rFonts w:asciiTheme="minorHAnsi" w:hAnsiTheme="minorHAnsi" w:cstheme="minorHAnsi"/>
              </w:rPr>
            </w:pPr>
            <w:r>
              <w:rPr>
                <w:rFonts w:asciiTheme="minorHAnsi" w:hAnsiTheme="minorHAnsi" w:cstheme="minorHAnsi"/>
              </w:rPr>
              <w:t>Područje i ključni elementi rizika</w:t>
            </w:r>
          </w:p>
        </w:tc>
        <w:tc>
          <w:tcPr>
            <w:tcW w:w="3828" w:type="dxa"/>
          </w:tcPr>
          <w:p w:rsidR="00220B0F" w:rsidRDefault="00220B0F" w:rsidP="00220B0F">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Opis rizika</w:t>
            </w:r>
          </w:p>
        </w:tc>
        <w:tc>
          <w:tcPr>
            <w:tcW w:w="1392" w:type="dxa"/>
          </w:tcPr>
          <w:p w:rsidR="00220B0F" w:rsidRDefault="00220B0F" w:rsidP="00220B0F">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Vjerojatnost nastanka</w:t>
            </w:r>
          </w:p>
        </w:tc>
        <w:tc>
          <w:tcPr>
            <w:tcW w:w="1012" w:type="dxa"/>
          </w:tcPr>
          <w:p w:rsidR="00220B0F" w:rsidRDefault="00220B0F" w:rsidP="00220B0F">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 / Učinak</w:t>
            </w:r>
          </w:p>
        </w:tc>
      </w:tr>
      <w:tr w:rsidR="00220B0F" w:rsidTr="00E63F96">
        <w:tc>
          <w:tcPr>
            <w:cnfStyle w:val="001000000000" w:firstRow="0" w:lastRow="0" w:firstColumn="1" w:lastColumn="0" w:oddVBand="0" w:evenVBand="0" w:oddHBand="0" w:evenHBand="0" w:firstRowFirstColumn="0" w:firstRowLastColumn="0" w:lastRowFirstColumn="0" w:lastRowLastColumn="0"/>
            <w:tcW w:w="561" w:type="dxa"/>
            <w:vMerge w:val="restart"/>
          </w:tcPr>
          <w:p w:rsidR="00220B0F" w:rsidRDefault="00220B0F" w:rsidP="00220B0F">
            <w:pPr>
              <w:jc w:val="both"/>
              <w:rPr>
                <w:rFonts w:asciiTheme="minorHAnsi" w:hAnsiTheme="minorHAnsi" w:cstheme="minorHAnsi"/>
              </w:rPr>
            </w:pPr>
            <w:r>
              <w:rPr>
                <w:rFonts w:asciiTheme="minorHAnsi" w:hAnsiTheme="minorHAnsi" w:cstheme="minorHAnsi"/>
              </w:rPr>
              <w:t>1.</w:t>
            </w:r>
          </w:p>
        </w:tc>
        <w:tc>
          <w:tcPr>
            <w:tcW w:w="2836" w:type="dxa"/>
          </w:tcPr>
          <w:p w:rsidR="00220B0F" w:rsidRDefault="00220B0F" w:rsidP="00E63F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Regulatorne promjene – segment tržišnih igara</w:t>
            </w:r>
          </w:p>
        </w:tc>
        <w:tc>
          <w:tcPr>
            <w:tcW w:w="3828" w:type="dxa"/>
          </w:tcPr>
          <w:p w:rsidR="00220B0F" w:rsidRDefault="00220B0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Promjena RH zakonodavnog okvira koji će rezultirati:</w:t>
            </w:r>
          </w:p>
          <w:p w:rsidR="00220B0F" w:rsidRDefault="00220B0F" w:rsidP="00B47E3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Modelom legalizacije on-line priređivača igara na sreću ili</w:t>
            </w:r>
          </w:p>
          <w:p w:rsidR="00220B0F" w:rsidRPr="00220B0F" w:rsidRDefault="00220B0F" w:rsidP="00B47E3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Da se na tržištu pojave novi konkurenti (domaći ili strani)</w:t>
            </w:r>
          </w:p>
        </w:tc>
        <w:tc>
          <w:tcPr>
            <w:tcW w:w="1392" w:type="dxa"/>
          </w:tcPr>
          <w:p w:rsidR="00220B0F" w:rsidRDefault="00220B0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Velika (vjerojatno)</w:t>
            </w:r>
          </w:p>
        </w:tc>
        <w:tc>
          <w:tcPr>
            <w:tcW w:w="1012" w:type="dxa"/>
          </w:tcPr>
          <w:p w:rsidR="00220B0F" w:rsidRDefault="00220B0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220B0F" w:rsidTr="00E63F96">
        <w:tc>
          <w:tcPr>
            <w:cnfStyle w:val="001000000000" w:firstRow="0" w:lastRow="0" w:firstColumn="1" w:lastColumn="0" w:oddVBand="0" w:evenVBand="0" w:oddHBand="0" w:evenHBand="0" w:firstRowFirstColumn="0" w:firstRowLastColumn="0" w:lastRowFirstColumn="0" w:lastRowLastColumn="0"/>
            <w:tcW w:w="561" w:type="dxa"/>
            <w:vMerge/>
          </w:tcPr>
          <w:p w:rsidR="00220B0F" w:rsidRDefault="00220B0F" w:rsidP="00220B0F">
            <w:pPr>
              <w:jc w:val="both"/>
              <w:rPr>
                <w:rFonts w:asciiTheme="minorHAnsi" w:hAnsiTheme="minorHAnsi" w:cstheme="minorHAnsi"/>
              </w:rPr>
            </w:pPr>
          </w:p>
        </w:tc>
        <w:tc>
          <w:tcPr>
            <w:tcW w:w="2836" w:type="dxa"/>
          </w:tcPr>
          <w:p w:rsidR="00220B0F" w:rsidRDefault="00220B0F" w:rsidP="00E63F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Regulatorne promjene – segment lutrijskih igara</w:t>
            </w:r>
          </w:p>
        </w:tc>
        <w:tc>
          <w:tcPr>
            <w:tcW w:w="3828" w:type="dxa"/>
          </w:tcPr>
          <w:p w:rsidR="00220B0F" w:rsidRDefault="00220B0F" w:rsidP="00E63F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Mogućnosti promjene RH zakonodavnog okvira</w:t>
            </w:r>
            <w:r w:rsidR="00E63F96">
              <w:rPr>
                <w:rFonts w:asciiTheme="minorHAnsi" w:hAnsiTheme="minorHAnsi" w:cstheme="minorHAnsi"/>
              </w:rPr>
              <w:t xml:space="preserve"> </w:t>
            </w:r>
            <w:r>
              <w:rPr>
                <w:rFonts w:asciiTheme="minorHAnsi" w:hAnsiTheme="minorHAnsi" w:cstheme="minorHAnsi"/>
              </w:rPr>
              <w:t>koji će rezultirati ulaskom konkurencije u segment lutrijskih igara</w:t>
            </w:r>
          </w:p>
        </w:tc>
        <w:tc>
          <w:tcPr>
            <w:tcW w:w="1392" w:type="dxa"/>
          </w:tcPr>
          <w:p w:rsidR="00220B0F" w:rsidRDefault="00220B0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Mala (rijetko)</w:t>
            </w:r>
          </w:p>
        </w:tc>
        <w:tc>
          <w:tcPr>
            <w:tcW w:w="1012" w:type="dxa"/>
          </w:tcPr>
          <w:p w:rsidR="00220B0F" w:rsidRDefault="00220B0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E63F96" w:rsidTr="00E63F96">
        <w:tc>
          <w:tcPr>
            <w:cnfStyle w:val="001000000000" w:firstRow="0" w:lastRow="0" w:firstColumn="1" w:lastColumn="0" w:oddVBand="0" w:evenVBand="0" w:oddHBand="0" w:evenHBand="0" w:firstRowFirstColumn="0" w:firstRowLastColumn="0" w:lastRowFirstColumn="0" w:lastRowLastColumn="0"/>
            <w:tcW w:w="561" w:type="dxa"/>
            <w:vMerge w:val="restart"/>
          </w:tcPr>
          <w:p w:rsidR="00E63F96" w:rsidRDefault="00E63F96" w:rsidP="00220B0F">
            <w:pPr>
              <w:jc w:val="both"/>
              <w:rPr>
                <w:rFonts w:asciiTheme="minorHAnsi" w:hAnsiTheme="minorHAnsi" w:cstheme="minorHAnsi"/>
              </w:rPr>
            </w:pPr>
            <w:r>
              <w:rPr>
                <w:rFonts w:asciiTheme="minorHAnsi" w:hAnsiTheme="minorHAnsi" w:cstheme="minorHAnsi"/>
              </w:rPr>
              <w:t>2.</w:t>
            </w:r>
          </w:p>
        </w:tc>
        <w:tc>
          <w:tcPr>
            <w:tcW w:w="2836" w:type="dxa"/>
          </w:tcPr>
          <w:p w:rsidR="00E63F96" w:rsidRDefault="00E63F96" w:rsidP="00E63F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Razvoj i utjecaj konkurencije – konkurencija, neovisno o regulatornim promjenama</w:t>
            </w:r>
          </w:p>
        </w:tc>
        <w:tc>
          <w:tcPr>
            <w:tcW w:w="3828"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Osim ulaska novih igrača na tržište:</w:t>
            </w:r>
          </w:p>
          <w:p w:rsidR="00E63F96" w:rsidRDefault="00E63F96" w:rsidP="00B47E3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Okrupnjivanje postojećih konkurenata na tržištu (akvizicije, spajanja);</w:t>
            </w:r>
          </w:p>
          <w:p w:rsidR="00E63F96" w:rsidRDefault="00E63F96" w:rsidP="00B47E3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Nova strateška partnerstva sa stranim priređivačima igara na sreću;</w:t>
            </w:r>
          </w:p>
          <w:p w:rsidR="00E63F96" w:rsidRPr="00E63F96" w:rsidRDefault="00E63F96" w:rsidP="00B47E3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Bolja ponuda postojećih konkurenata</w:t>
            </w:r>
          </w:p>
        </w:tc>
        <w:tc>
          <w:tcPr>
            <w:tcW w:w="1392"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Vrlo vjerojatno </w:t>
            </w:r>
          </w:p>
        </w:tc>
        <w:tc>
          <w:tcPr>
            <w:tcW w:w="1012"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E63F96" w:rsidTr="00E63F96">
        <w:tc>
          <w:tcPr>
            <w:cnfStyle w:val="001000000000" w:firstRow="0" w:lastRow="0" w:firstColumn="1" w:lastColumn="0" w:oddVBand="0" w:evenVBand="0" w:oddHBand="0" w:evenHBand="0" w:firstRowFirstColumn="0" w:firstRowLastColumn="0" w:lastRowFirstColumn="0" w:lastRowLastColumn="0"/>
            <w:tcW w:w="561" w:type="dxa"/>
            <w:vMerge/>
          </w:tcPr>
          <w:p w:rsidR="00E63F96" w:rsidRDefault="00E63F96" w:rsidP="00220B0F">
            <w:pPr>
              <w:jc w:val="both"/>
              <w:rPr>
                <w:rFonts w:asciiTheme="minorHAnsi" w:hAnsiTheme="minorHAnsi" w:cstheme="minorHAnsi"/>
              </w:rPr>
            </w:pPr>
          </w:p>
        </w:tc>
        <w:tc>
          <w:tcPr>
            <w:tcW w:w="2836" w:type="dxa"/>
          </w:tcPr>
          <w:p w:rsidR="00E63F96" w:rsidRDefault="00E63F96" w:rsidP="00E63F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Razvoj i utjecaj konkurencije – nelegalna / polulegalna konkurencija</w:t>
            </w:r>
          </w:p>
        </w:tc>
        <w:tc>
          <w:tcPr>
            <w:tcW w:w="3828" w:type="dxa"/>
          </w:tcPr>
          <w:p w:rsidR="00E63F96" w:rsidRDefault="00E63F96" w:rsidP="00E63F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U ovom slučaju, rizik uključuje neometani nastavak rada nelegalne konkurencije, odnosno izostanak zakonodavnih mjera / akcija za smanjenje pojave nelegalnog klađenja (na primjer)</w:t>
            </w:r>
          </w:p>
        </w:tc>
        <w:tc>
          <w:tcPr>
            <w:tcW w:w="1392"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Vrlo vjerojatno</w:t>
            </w:r>
          </w:p>
        </w:tc>
        <w:tc>
          <w:tcPr>
            <w:tcW w:w="1012"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E63F96" w:rsidTr="00E63F96">
        <w:tc>
          <w:tcPr>
            <w:cnfStyle w:val="001000000000" w:firstRow="0" w:lastRow="0" w:firstColumn="1" w:lastColumn="0" w:oddVBand="0" w:evenVBand="0" w:oddHBand="0" w:evenHBand="0" w:firstRowFirstColumn="0" w:firstRowLastColumn="0" w:lastRowFirstColumn="0" w:lastRowLastColumn="0"/>
            <w:tcW w:w="561" w:type="dxa"/>
            <w:vMerge w:val="restart"/>
          </w:tcPr>
          <w:p w:rsidR="00E63F96" w:rsidRDefault="00E63F96" w:rsidP="00220B0F">
            <w:pPr>
              <w:jc w:val="both"/>
              <w:rPr>
                <w:rFonts w:asciiTheme="minorHAnsi" w:hAnsiTheme="minorHAnsi" w:cstheme="minorHAnsi"/>
              </w:rPr>
            </w:pPr>
            <w:r>
              <w:rPr>
                <w:rFonts w:asciiTheme="minorHAnsi" w:hAnsiTheme="minorHAnsi" w:cstheme="minorHAnsi"/>
              </w:rPr>
              <w:t>3.</w:t>
            </w:r>
          </w:p>
        </w:tc>
        <w:tc>
          <w:tcPr>
            <w:tcW w:w="2836" w:type="dxa"/>
          </w:tcPr>
          <w:p w:rsidR="00E63F96" w:rsidRDefault="00DD604F" w:rsidP="00E63F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Tehnološko zaostajanje Hrvatske Lutrije</w:t>
            </w:r>
            <w:r w:rsidR="00E63F96">
              <w:rPr>
                <w:rFonts w:asciiTheme="minorHAnsi" w:hAnsiTheme="minorHAnsi" w:cstheme="minorHAnsi"/>
              </w:rPr>
              <w:t xml:space="preserve"> (u odnosu na konkurenciju) zbog fokusiranja na vlastiti razvoj</w:t>
            </w:r>
          </w:p>
        </w:tc>
        <w:tc>
          <w:tcPr>
            <w:tcW w:w="3828"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Izostanak prilagodbe postojeće IT / igračke infrastrukture potrebama tržišta i igrača zbog fokusiranja na vlastiti razvoj</w:t>
            </w:r>
          </w:p>
        </w:tc>
        <w:tc>
          <w:tcPr>
            <w:tcW w:w="1392"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Moguće</w:t>
            </w:r>
          </w:p>
        </w:tc>
        <w:tc>
          <w:tcPr>
            <w:tcW w:w="1012"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E63F96" w:rsidTr="00E63F96">
        <w:tc>
          <w:tcPr>
            <w:cnfStyle w:val="001000000000" w:firstRow="0" w:lastRow="0" w:firstColumn="1" w:lastColumn="0" w:oddVBand="0" w:evenVBand="0" w:oddHBand="0" w:evenHBand="0" w:firstRowFirstColumn="0" w:firstRowLastColumn="0" w:lastRowFirstColumn="0" w:lastRowLastColumn="0"/>
            <w:tcW w:w="561" w:type="dxa"/>
            <w:vMerge/>
          </w:tcPr>
          <w:p w:rsidR="00E63F96" w:rsidRDefault="00E63F96" w:rsidP="00220B0F">
            <w:pPr>
              <w:jc w:val="both"/>
              <w:rPr>
                <w:rFonts w:asciiTheme="minorHAnsi" w:hAnsiTheme="minorHAnsi" w:cstheme="minorHAnsi"/>
              </w:rPr>
            </w:pPr>
          </w:p>
        </w:tc>
        <w:tc>
          <w:tcPr>
            <w:tcW w:w="2836" w:type="dxa"/>
          </w:tcPr>
          <w:p w:rsidR="00E63F96" w:rsidRDefault="00E63F96" w:rsidP="00DD60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Tehnološko zaostajanje H</w:t>
            </w:r>
            <w:r w:rsidR="00DD604F">
              <w:rPr>
                <w:rFonts w:asciiTheme="minorHAnsi" w:hAnsiTheme="minorHAnsi" w:cstheme="minorHAnsi"/>
              </w:rPr>
              <w:t>rvatske Lutrije</w:t>
            </w:r>
            <w:r>
              <w:rPr>
                <w:rFonts w:asciiTheme="minorHAnsi" w:hAnsiTheme="minorHAnsi" w:cstheme="minorHAnsi"/>
              </w:rPr>
              <w:t xml:space="preserve"> (u odnosu na konkurenciju)</w:t>
            </w:r>
            <w:r w:rsidR="00DD604F">
              <w:rPr>
                <w:rFonts w:asciiTheme="minorHAnsi" w:hAnsiTheme="minorHAnsi" w:cstheme="minorHAnsi"/>
              </w:rPr>
              <w:t xml:space="preserve"> </w:t>
            </w:r>
            <w:r>
              <w:rPr>
                <w:rFonts w:asciiTheme="minorHAnsi" w:hAnsiTheme="minorHAnsi" w:cstheme="minorHAnsi"/>
              </w:rPr>
              <w:t>-problem procesa nabave</w:t>
            </w:r>
          </w:p>
        </w:tc>
        <w:tc>
          <w:tcPr>
            <w:tcW w:w="3828" w:type="dxa"/>
          </w:tcPr>
          <w:p w:rsidR="00E63F96" w:rsidRDefault="00E63F96" w:rsidP="00F9545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Izostanak prilagodbe postojeće </w:t>
            </w:r>
            <w:r w:rsidR="00F95454">
              <w:rPr>
                <w:rFonts w:asciiTheme="minorHAnsi" w:hAnsiTheme="minorHAnsi" w:cstheme="minorHAnsi"/>
              </w:rPr>
              <w:t>IT / igračke infrastrukture potrebama tržišta i igrača zbog problema dugotrajnog procesa nabave, u situaciji kada konkurencija nije obveznik Zakona o javnoj nabavi</w:t>
            </w:r>
          </w:p>
        </w:tc>
        <w:tc>
          <w:tcPr>
            <w:tcW w:w="1392"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Vrlo vjerojatno</w:t>
            </w:r>
          </w:p>
        </w:tc>
        <w:tc>
          <w:tcPr>
            <w:tcW w:w="1012" w:type="dxa"/>
          </w:tcPr>
          <w:p w:rsidR="00E63F96" w:rsidRDefault="00E63F96"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162C2F" w:rsidTr="00A537A7">
        <w:tc>
          <w:tcPr>
            <w:cnfStyle w:val="001000000000" w:firstRow="0" w:lastRow="0" w:firstColumn="1" w:lastColumn="0" w:oddVBand="0" w:evenVBand="0" w:oddHBand="0" w:evenHBand="0" w:firstRowFirstColumn="0" w:firstRowLastColumn="0" w:lastRowFirstColumn="0" w:lastRowLastColumn="0"/>
            <w:tcW w:w="561" w:type="dxa"/>
            <w:vMerge w:val="restart"/>
          </w:tcPr>
          <w:p w:rsidR="00162C2F" w:rsidRDefault="00162C2F" w:rsidP="00220B0F">
            <w:pPr>
              <w:jc w:val="both"/>
              <w:rPr>
                <w:rFonts w:asciiTheme="minorHAnsi" w:hAnsiTheme="minorHAnsi" w:cstheme="minorHAnsi"/>
              </w:rPr>
            </w:pPr>
            <w:r>
              <w:rPr>
                <w:rFonts w:asciiTheme="minorHAnsi" w:hAnsiTheme="minorHAnsi" w:cstheme="minorHAnsi"/>
              </w:rPr>
              <w:t>4.</w:t>
            </w:r>
          </w:p>
        </w:tc>
        <w:tc>
          <w:tcPr>
            <w:tcW w:w="2836" w:type="dxa"/>
          </w:tcPr>
          <w:p w:rsidR="00162C2F" w:rsidRDefault="00162C2F" w:rsidP="00A537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Interne neefikasnosti:</w:t>
            </w:r>
          </w:p>
          <w:p w:rsidR="00162C2F" w:rsidRDefault="00162C2F" w:rsidP="00A537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Neadekvatna struktura / broj ljudskih resursa</w:t>
            </w:r>
          </w:p>
        </w:tc>
        <w:tc>
          <w:tcPr>
            <w:tcW w:w="3828" w:type="dxa"/>
          </w:tcPr>
          <w:p w:rsidR="00162C2F" w:rsidRDefault="00162C2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Postojeći kapaciteti ljudskih resursa (primarno broj ključnih ljudi koji imaju specifična znanja iz industrije i razvoja proizvoda) – nisu dostatni za </w:t>
            </w:r>
            <w:r w:rsidR="005A2B7A">
              <w:rPr>
                <w:rFonts w:asciiTheme="minorHAnsi" w:hAnsiTheme="minorHAnsi" w:cstheme="minorHAnsi"/>
              </w:rPr>
              <w:t>vlastiti razvoj.</w:t>
            </w:r>
          </w:p>
        </w:tc>
        <w:tc>
          <w:tcPr>
            <w:tcW w:w="1392" w:type="dxa"/>
          </w:tcPr>
          <w:p w:rsidR="00162C2F" w:rsidRDefault="00162C2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Vrlo vjerojatno</w:t>
            </w:r>
          </w:p>
        </w:tc>
        <w:tc>
          <w:tcPr>
            <w:tcW w:w="1012" w:type="dxa"/>
          </w:tcPr>
          <w:p w:rsidR="00162C2F" w:rsidRDefault="00162C2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162C2F" w:rsidTr="00A537A7">
        <w:tc>
          <w:tcPr>
            <w:cnfStyle w:val="001000000000" w:firstRow="0" w:lastRow="0" w:firstColumn="1" w:lastColumn="0" w:oddVBand="0" w:evenVBand="0" w:oddHBand="0" w:evenHBand="0" w:firstRowFirstColumn="0" w:firstRowLastColumn="0" w:lastRowFirstColumn="0" w:lastRowLastColumn="0"/>
            <w:tcW w:w="561" w:type="dxa"/>
            <w:vMerge/>
          </w:tcPr>
          <w:p w:rsidR="00162C2F" w:rsidRDefault="00162C2F" w:rsidP="00220B0F">
            <w:pPr>
              <w:jc w:val="both"/>
              <w:rPr>
                <w:rFonts w:asciiTheme="minorHAnsi" w:hAnsiTheme="minorHAnsi" w:cstheme="minorHAnsi"/>
              </w:rPr>
            </w:pPr>
          </w:p>
        </w:tc>
        <w:tc>
          <w:tcPr>
            <w:tcW w:w="2836" w:type="dxa"/>
          </w:tcPr>
          <w:p w:rsidR="00162C2F" w:rsidRDefault="00162C2F" w:rsidP="00A537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Odlazak ključnih zaposlenika / (de) motivacija</w:t>
            </w:r>
          </w:p>
        </w:tc>
        <w:tc>
          <w:tcPr>
            <w:tcW w:w="3828" w:type="dxa"/>
          </w:tcPr>
          <w:p w:rsidR="00162C2F" w:rsidRDefault="005A2B7A"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Postoji mogućnost odlaska ključnih zaposlenika u druge industrije ili kod konkurencije.</w:t>
            </w:r>
          </w:p>
        </w:tc>
        <w:tc>
          <w:tcPr>
            <w:tcW w:w="1392" w:type="dxa"/>
          </w:tcPr>
          <w:p w:rsidR="00162C2F" w:rsidRDefault="00162C2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Vjerojatno</w:t>
            </w:r>
          </w:p>
        </w:tc>
        <w:tc>
          <w:tcPr>
            <w:tcW w:w="1012" w:type="dxa"/>
          </w:tcPr>
          <w:p w:rsidR="00162C2F" w:rsidRDefault="00162C2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162C2F" w:rsidTr="00A537A7">
        <w:tc>
          <w:tcPr>
            <w:cnfStyle w:val="001000000000" w:firstRow="0" w:lastRow="0" w:firstColumn="1" w:lastColumn="0" w:oddVBand="0" w:evenVBand="0" w:oddHBand="0" w:evenHBand="0" w:firstRowFirstColumn="0" w:firstRowLastColumn="0" w:lastRowFirstColumn="0" w:lastRowLastColumn="0"/>
            <w:tcW w:w="561" w:type="dxa"/>
            <w:vMerge/>
          </w:tcPr>
          <w:p w:rsidR="00162C2F" w:rsidRDefault="00162C2F" w:rsidP="00220B0F">
            <w:pPr>
              <w:jc w:val="both"/>
              <w:rPr>
                <w:rFonts w:asciiTheme="minorHAnsi" w:hAnsiTheme="minorHAnsi" w:cstheme="minorHAnsi"/>
              </w:rPr>
            </w:pPr>
          </w:p>
        </w:tc>
        <w:tc>
          <w:tcPr>
            <w:tcW w:w="2836" w:type="dxa"/>
          </w:tcPr>
          <w:p w:rsidR="00162C2F" w:rsidRDefault="00162C2F" w:rsidP="00A537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Izostanak organizacijske prilagodbe</w:t>
            </w:r>
          </w:p>
        </w:tc>
        <w:tc>
          <w:tcPr>
            <w:tcW w:w="3828" w:type="dxa"/>
          </w:tcPr>
          <w:p w:rsidR="00162C2F" w:rsidRDefault="005A2B7A" w:rsidP="001037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Navedeno primarno uključuje operativni / organizacijski model koji nije adekvatan za potrebe prilagodbe tržištu </w:t>
            </w:r>
            <w:r w:rsidR="00961488">
              <w:rPr>
                <w:rFonts w:asciiTheme="minorHAnsi" w:hAnsiTheme="minorHAnsi" w:cstheme="minorHAnsi"/>
              </w:rPr>
              <w:t xml:space="preserve"> i upravljanja proizvodima i procesima</w:t>
            </w:r>
          </w:p>
        </w:tc>
        <w:tc>
          <w:tcPr>
            <w:tcW w:w="1392" w:type="dxa"/>
          </w:tcPr>
          <w:p w:rsidR="00162C2F" w:rsidRDefault="00162C2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Moguće</w:t>
            </w:r>
          </w:p>
        </w:tc>
        <w:tc>
          <w:tcPr>
            <w:tcW w:w="1012" w:type="dxa"/>
          </w:tcPr>
          <w:p w:rsidR="00162C2F" w:rsidRDefault="00162C2F" w:rsidP="00220B0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10371B" w:rsidTr="00E63F96">
        <w:tc>
          <w:tcPr>
            <w:cnfStyle w:val="001000000000" w:firstRow="0" w:lastRow="0" w:firstColumn="1" w:lastColumn="0" w:oddVBand="0" w:evenVBand="0" w:oddHBand="0" w:evenHBand="0" w:firstRowFirstColumn="0" w:firstRowLastColumn="0" w:lastRowFirstColumn="0" w:lastRowLastColumn="0"/>
            <w:tcW w:w="561" w:type="dxa"/>
            <w:vMerge w:val="restart"/>
          </w:tcPr>
          <w:p w:rsidR="0010371B" w:rsidRDefault="0010371B" w:rsidP="0010371B">
            <w:pPr>
              <w:jc w:val="both"/>
              <w:rPr>
                <w:rFonts w:asciiTheme="minorHAnsi" w:hAnsiTheme="minorHAnsi" w:cstheme="minorHAnsi"/>
              </w:rPr>
            </w:pPr>
            <w:r>
              <w:rPr>
                <w:rFonts w:asciiTheme="minorHAnsi" w:hAnsiTheme="minorHAnsi" w:cstheme="minorHAnsi"/>
              </w:rPr>
              <w:t>5.</w:t>
            </w:r>
          </w:p>
        </w:tc>
        <w:tc>
          <w:tcPr>
            <w:tcW w:w="2836" w:type="dxa"/>
          </w:tcPr>
          <w:p w:rsidR="0010371B" w:rsidRDefault="0010371B" w:rsidP="001037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Nepovoljan razvoj makroekonomske situacije – kontinuirano smanjenje broja stanovnika Republike Hrvatske</w:t>
            </w:r>
          </w:p>
        </w:tc>
        <w:tc>
          <w:tcPr>
            <w:tcW w:w="3828" w:type="dxa"/>
          </w:tcPr>
          <w:p w:rsidR="0010371B" w:rsidRDefault="0010371B" w:rsidP="001037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Smanjenje broja stanovnika Hrvatske, primarno u dijelu radno sposobnog stanovništva (koji su ciljana grupa za digitalni razvoj), neizbježno će utjecati na ukupan broj igrača Hrvatske Lutrije</w:t>
            </w:r>
          </w:p>
        </w:tc>
        <w:tc>
          <w:tcPr>
            <w:tcW w:w="1392" w:type="dxa"/>
          </w:tcPr>
          <w:p w:rsidR="0010371B" w:rsidRDefault="0010371B" w:rsidP="0010371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Vrlo vjerojatno</w:t>
            </w:r>
          </w:p>
        </w:tc>
        <w:tc>
          <w:tcPr>
            <w:tcW w:w="1012" w:type="dxa"/>
          </w:tcPr>
          <w:p w:rsidR="0010371B" w:rsidRDefault="0010371B" w:rsidP="0010371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10371B" w:rsidTr="00E63F96">
        <w:tc>
          <w:tcPr>
            <w:cnfStyle w:val="001000000000" w:firstRow="0" w:lastRow="0" w:firstColumn="1" w:lastColumn="0" w:oddVBand="0" w:evenVBand="0" w:oddHBand="0" w:evenHBand="0" w:firstRowFirstColumn="0" w:firstRowLastColumn="0" w:lastRowFirstColumn="0" w:lastRowLastColumn="0"/>
            <w:tcW w:w="561" w:type="dxa"/>
            <w:vMerge/>
          </w:tcPr>
          <w:p w:rsidR="0010371B" w:rsidRDefault="0010371B" w:rsidP="0010371B">
            <w:pPr>
              <w:jc w:val="both"/>
              <w:rPr>
                <w:rFonts w:asciiTheme="minorHAnsi" w:hAnsiTheme="minorHAnsi" w:cstheme="minorHAnsi"/>
              </w:rPr>
            </w:pPr>
          </w:p>
        </w:tc>
        <w:tc>
          <w:tcPr>
            <w:tcW w:w="2836" w:type="dxa"/>
          </w:tcPr>
          <w:p w:rsidR="0010371B" w:rsidRDefault="0010371B" w:rsidP="001037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Nepovoljan razvoj makroekonomske situacije – pogoršanje ključnih makroekonomskih pokazatelja Republike Hrvatske</w:t>
            </w:r>
          </w:p>
        </w:tc>
        <w:tc>
          <w:tcPr>
            <w:tcW w:w="3828" w:type="dxa"/>
          </w:tcPr>
          <w:p w:rsidR="0010371B" w:rsidRDefault="00134AC8" w:rsidP="0010371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Smanjenje kupovne moći postojećih igrača, odnosno smanjenje raspoloživog dohotka (npr.zbog povećanja stope nezaposlenosti)</w:t>
            </w:r>
          </w:p>
        </w:tc>
        <w:tc>
          <w:tcPr>
            <w:tcW w:w="1392" w:type="dxa"/>
          </w:tcPr>
          <w:p w:rsidR="0010371B" w:rsidRDefault="0010371B" w:rsidP="0010371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Vjerojatno</w:t>
            </w:r>
          </w:p>
        </w:tc>
        <w:tc>
          <w:tcPr>
            <w:tcW w:w="1012" w:type="dxa"/>
          </w:tcPr>
          <w:p w:rsidR="0010371B" w:rsidRDefault="0010371B" w:rsidP="0010371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bl>
    <w:p w:rsidR="00220B0F" w:rsidRDefault="00220B0F" w:rsidP="00220B0F">
      <w:pPr>
        <w:spacing w:after="0" w:line="240" w:lineRule="auto"/>
        <w:jc w:val="both"/>
        <w:rPr>
          <w:rFonts w:asciiTheme="minorHAnsi" w:hAnsiTheme="minorHAnsi" w:cstheme="minorHAnsi"/>
        </w:rPr>
      </w:pPr>
    </w:p>
    <w:p w:rsidR="008F42F2" w:rsidRPr="00220B0F" w:rsidRDefault="008F42F2" w:rsidP="00220B0F">
      <w:pPr>
        <w:spacing w:after="0" w:line="240" w:lineRule="auto"/>
        <w:jc w:val="both"/>
        <w:rPr>
          <w:rFonts w:asciiTheme="minorHAnsi" w:hAnsiTheme="minorHAnsi" w:cstheme="minorHAnsi"/>
        </w:rPr>
      </w:pPr>
    </w:p>
    <w:p w:rsidR="004B199B" w:rsidRPr="00174A1D" w:rsidRDefault="007A136F" w:rsidP="00174A1D">
      <w:pPr>
        <w:pStyle w:val="Heading1"/>
        <w:numPr>
          <w:ilvl w:val="1"/>
          <w:numId w:val="1"/>
        </w:numPr>
        <w:jc w:val="both"/>
        <w:rPr>
          <w:rFonts w:ascii="Calibri" w:hAnsi="Calibri" w:cs="Calibri"/>
          <w:sz w:val="28"/>
          <w:szCs w:val="28"/>
        </w:rPr>
      </w:pPr>
      <w:bookmarkStart w:id="5" w:name="_Toc532299609"/>
      <w:r w:rsidRPr="00174A1D">
        <w:rPr>
          <w:rFonts w:ascii="Calibri" w:hAnsi="Calibri" w:cs="Calibri"/>
          <w:sz w:val="28"/>
          <w:szCs w:val="28"/>
        </w:rPr>
        <w:t>Analiza tehnologije i tehnoloških trendova</w:t>
      </w:r>
      <w:bookmarkEnd w:id="5"/>
    </w:p>
    <w:p w:rsidR="003841DD" w:rsidRDefault="003841DD" w:rsidP="003841DD">
      <w:pPr>
        <w:spacing w:after="0" w:line="240" w:lineRule="auto"/>
        <w:jc w:val="both"/>
        <w:rPr>
          <w:rFonts w:asciiTheme="minorHAnsi" w:hAnsiTheme="minorHAnsi" w:cstheme="minorHAnsi"/>
        </w:rPr>
      </w:pPr>
    </w:p>
    <w:p w:rsidR="000C45AB" w:rsidRDefault="000C45AB" w:rsidP="000C45AB">
      <w:pPr>
        <w:pStyle w:val="Default"/>
        <w:jc w:val="both"/>
        <w:rPr>
          <w:rFonts w:ascii="Calibri" w:hAnsi="Calibri" w:cs="Calibri"/>
          <w:sz w:val="22"/>
          <w:szCs w:val="22"/>
        </w:rPr>
      </w:pPr>
      <w:r>
        <w:rPr>
          <w:rFonts w:ascii="Calibri" w:hAnsi="Calibri" w:cs="Calibri"/>
          <w:sz w:val="22"/>
          <w:szCs w:val="22"/>
        </w:rPr>
        <w:lastRenderedPageBreak/>
        <w:t>S obzirom na napredak tehnologije te promjene navika naših igrača, a posebno u svjetlu implementacije Nove platforme za igre u okviru dugogodišnjeg ugovora koji je potpisan s partnerom INTRALOT, očekujemo sljedeće drivere promjena:</w:t>
      </w:r>
    </w:p>
    <w:p w:rsidR="000C45AB" w:rsidRDefault="000C45AB" w:rsidP="00B47E3F">
      <w:pPr>
        <w:pStyle w:val="Default"/>
        <w:numPr>
          <w:ilvl w:val="0"/>
          <w:numId w:val="15"/>
        </w:numPr>
        <w:adjustRightInd w:val="0"/>
        <w:jc w:val="both"/>
        <w:rPr>
          <w:rFonts w:ascii="Calibri" w:hAnsi="Calibri" w:cs="Calibri"/>
          <w:sz w:val="22"/>
          <w:szCs w:val="22"/>
        </w:rPr>
      </w:pPr>
      <w:r>
        <w:rPr>
          <w:rFonts w:ascii="Calibri" w:hAnsi="Calibri" w:cs="Calibri"/>
          <w:sz w:val="22"/>
          <w:szCs w:val="22"/>
        </w:rPr>
        <w:t>Zamjena postojeće analogne telefonije s IP telefonijom</w:t>
      </w:r>
    </w:p>
    <w:p w:rsidR="000C45AB" w:rsidRDefault="000C45AB" w:rsidP="00B47E3F">
      <w:pPr>
        <w:pStyle w:val="Default"/>
        <w:numPr>
          <w:ilvl w:val="0"/>
          <w:numId w:val="15"/>
        </w:numPr>
        <w:adjustRightInd w:val="0"/>
        <w:jc w:val="both"/>
        <w:rPr>
          <w:rFonts w:ascii="Calibri" w:hAnsi="Calibri" w:cs="Calibri"/>
          <w:sz w:val="22"/>
          <w:szCs w:val="22"/>
        </w:rPr>
      </w:pPr>
      <w:r>
        <w:rPr>
          <w:rFonts w:ascii="Calibri" w:hAnsi="Calibri" w:cs="Calibri"/>
          <w:sz w:val="22"/>
          <w:szCs w:val="22"/>
        </w:rPr>
        <w:t>Veliki porast broja transakcija igrača koje će utjecati na susta</w:t>
      </w:r>
      <w:r w:rsidR="00DD604F">
        <w:rPr>
          <w:rFonts w:ascii="Calibri" w:hAnsi="Calibri" w:cs="Calibri"/>
          <w:sz w:val="22"/>
          <w:szCs w:val="22"/>
        </w:rPr>
        <w:t>ve s kojima raspolaže Hrvatska L</w:t>
      </w:r>
      <w:r>
        <w:rPr>
          <w:rFonts w:ascii="Calibri" w:hAnsi="Calibri" w:cs="Calibri"/>
          <w:sz w:val="22"/>
          <w:szCs w:val="22"/>
        </w:rPr>
        <w:t>utrija te sustave za pohranu podataka potrebne za podršku nesmetanom radu</w:t>
      </w:r>
    </w:p>
    <w:p w:rsidR="000C45AB" w:rsidRDefault="000C45AB" w:rsidP="00B47E3F">
      <w:pPr>
        <w:pStyle w:val="Default"/>
        <w:numPr>
          <w:ilvl w:val="0"/>
          <w:numId w:val="15"/>
        </w:numPr>
        <w:adjustRightInd w:val="0"/>
        <w:jc w:val="both"/>
        <w:rPr>
          <w:rFonts w:ascii="Calibri" w:hAnsi="Calibri" w:cs="Calibri"/>
          <w:sz w:val="22"/>
          <w:szCs w:val="22"/>
        </w:rPr>
      </w:pPr>
      <w:r>
        <w:rPr>
          <w:rFonts w:ascii="Calibri" w:hAnsi="Calibri" w:cs="Calibri"/>
          <w:sz w:val="22"/>
          <w:szCs w:val="22"/>
        </w:rPr>
        <w:t xml:space="preserve">Promjena postojećih procesa iz djelokruga rada Službe </w:t>
      </w:r>
      <w:r w:rsidR="00DD604F">
        <w:rPr>
          <w:rFonts w:ascii="Calibri" w:hAnsi="Calibri" w:cs="Calibri"/>
          <w:sz w:val="22"/>
          <w:szCs w:val="22"/>
        </w:rPr>
        <w:t xml:space="preserve">informatike </w:t>
      </w:r>
      <w:r>
        <w:rPr>
          <w:rFonts w:ascii="Calibri" w:hAnsi="Calibri" w:cs="Calibri"/>
          <w:sz w:val="22"/>
          <w:szCs w:val="22"/>
        </w:rPr>
        <w:t>u skladu s promjenom procesa koje donosi implementacija Nove platforme</w:t>
      </w:r>
    </w:p>
    <w:p w:rsidR="000C45AB" w:rsidRDefault="000C45AB" w:rsidP="00B47E3F">
      <w:pPr>
        <w:pStyle w:val="Default"/>
        <w:numPr>
          <w:ilvl w:val="0"/>
          <w:numId w:val="15"/>
        </w:numPr>
        <w:adjustRightInd w:val="0"/>
        <w:jc w:val="both"/>
        <w:rPr>
          <w:rFonts w:ascii="Calibri" w:hAnsi="Calibri" w:cs="Calibri"/>
          <w:sz w:val="22"/>
          <w:szCs w:val="22"/>
        </w:rPr>
      </w:pPr>
      <w:r>
        <w:rPr>
          <w:rFonts w:ascii="Calibri" w:hAnsi="Calibri" w:cs="Calibri"/>
          <w:sz w:val="22"/>
          <w:szCs w:val="22"/>
        </w:rPr>
        <w:t>Nova platforma za igre treba se integrirati u postojeće okruženj</w:t>
      </w:r>
      <w:r w:rsidR="00DD604F">
        <w:rPr>
          <w:rFonts w:ascii="Calibri" w:hAnsi="Calibri" w:cs="Calibri"/>
          <w:sz w:val="22"/>
          <w:szCs w:val="22"/>
        </w:rPr>
        <w:t>e Hrvatske Lutrije</w:t>
      </w:r>
      <w:r>
        <w:rPr>
          <w:rFonts w:ascii="Calibri" w:hAnsi="Calibri" w:cs="Calibri"/>
          <w:sz w:val="22"/>
          <w:szCs w:val="22"/>
        </w:rPr>
        <w:t xml:space="preserve"> i iziskivat će podizanje razine informacijske sigurnosti kao i značajno povećanje potrebnih infrastrukturnih kapaciteta u smislu komunikacijske povezanosti</w:t>
      </w:r>
    </w:p>
    <w:p w:rsidR="000C45AB" w:rsidRDefault="000C45AB" w:rsidP="00B47E3F">
      <w:pPr>
        <w:pStyle w:val="Default"/>
        <w:numPr>
          <w:ilvl w:val="0"/>
          <w:numId w:val="15"/>
        </w:numPr>
        <w:adjustRightInd w:val="0"/>
        <w:jc w:val="both"/>
        <w:rPr>
          <w:rFonts w:ascii="Calibri" w:hAnsi="Calibri" w:cs="Calibri"/>
          <w:sz w:val="22"/>
          <w:szCs w:val="22"/>
        </w:rPr>
      </w:pPr>
      <w:r>
        <w:rPr>
          <w:rFonts w:ascii="Calibri" w:hAnsi="Calibri" w:cs="Calibri"/>
          <w:sz w:val="22"/>
          <w:szCs w:val="22"/>
        </w:rPr>
        <w:t>Trendovi prebacivanja usluga u Cloud utjecat će na promjenu dosadašnjeg načina rada koji se temeljio na on-premise sustavima. Ovdje se očekuje značajan napor organizacije u slučaju prebacivanje postojećeg ERP-a na novo Cloud rješenje.</w:t>
      </w:r>
    </w:p>
    <w:p w:rsidR="000C45AB" w:rsidRDefault="000C45AB" w:rsidP="003841DD">
      <w:pPr>
        <w:spacing w:after="0" w:line="240" w:lineRule="auto"/>
        <w:jc w:val="both"/>
        <w:rPr>
          <w:rFonts w:asciiTheme="minorHAnsi" w:hAnsiTheme="minorHAnsi" w:cstheme="minorHAnsi"/>
        </w:rPr>
      </w:pPr>
    </w:p>
    <w:p w:rsidR="003841DD" w:rsidRPr="003841DD" w:rsidRDefault="003841DD" w:rsidP="003841DD">
      <w:pPr>
        <w:spacing w:after="0" w:line="240" w:lineRule="auto"/>
        <w:jc w:val="both"/>
        <w:rPr>
          <w:rFonts w:asciiTheme="minorHAnsi" w:hAnsiTheme="minorHAnsi" w:cstheme="minorHAnsi"/>
        </w:rPr>
      </w:pPr>
    </w:p>
    <w:p w:rsidR="003841DD" w:rsidRPr="00174A1D" w:rsidRDefault="007A136F" w:rsidP="00174A1D">
      <w:pPr>
        <w:pStyle w:val="Heading1"/>
        <w:numPr>
          <w:ilvl w:val="1"/>
          <w:numId w:val="1"/>
        </w:numPr>
        <w:jc w:val="both"/>
        <w:rPr>
          <w:rFonts w:ascii="Calibri" w:hAnsi="Calibri" w:cs="Calibri"/>
          <w:sz w:val="28"/>
          <w:szCs w:val="28"/>
        </w:rPr>
      </w:pPr>
      <w:bookmarkStart w:id="6" w:name="_Toc532299610"/>
      <w:r w:rsidRPr="00174A1D">
        <w:rPr>
          <w:rFonts w:ascii="Calibri" w:hAnsi="Calibri" w:cs="Calibri"/>
          <w:sz w:val="28"/>
          <w:szCs w:val="28"/>
        </w:rPr>
        <w:t>Analiza trendova u razvoju proizvoda</w:t>
      </w:r>
      <w:bookmarkEnd w:id="6"/>
      <w:r w:rsidRPr="00174A1D">
        <w:rPr>
          <w:rFonts w:ascii="Calibri" w:hAnsi="Calibri" w:cs="Calibri"/>
          <w:sz w:val="28"/>
          <w:szCs w:val="28"/>
        </w:rPr>
        <w:t xml:space="preserve"> </w:t>
      </w:r>
    </w:p>
    <w:p w:rsidR="003841DD" w:rsidRDefault="003841DD" w:rsidP="003841DD">
      <w:pPr>
        <w:spacing w:after="0" w:line="240" w:lineRule="auto"/>
        <w:jc w:val="both"/>
        <w:rPr>
          <w:rFonts w:asciiTheme="minorHAnsi" w:hAnsiTheme="minorHAnsi" w:cstheme="minorHAnsi"/>
        </w:rPr>
      </w:pPr>
    </w:p>
    <w:p w:rsidR="003841DD" w:rsidRPr="003841DD" w:rsidRDefault="003841DD" w:rsidP="003841DD">
      <w:pPr>
        <w:spacing w:after="0" w:line="240" w:lineRule="auto"/>
        <w:jc w:val="both"/>
        <w:rPr>
          <w:rFonts w:asciiTheme="minorHAnsi" w:hAnsiTheme="minorHAnsi" w:cstheme="minorHAnsi"/>
        </w:rPr>
      </w:pPr>
      <w:r>
        <w:rPr>
          <w:rFonts w:asciiTheme="minorHAnsi" w:hAnsiTheme="minorHAnsi" w:cstheme="minorHAnsi"/>
        </w:rPr>
        <w:t>Razvoj igara suočen je sa sljedećim trendovima:</w:t>
      </w:r>
    </w:p>
    <w:p w:rsidR="003841DD" w:rsidRPr="001346E2" w:rsidRDefault="003841DD" w:rsidP="003841DD">
      <w:pPr>
        <w:spacing w:after="0" w:line="240" w:lineRule="auto"/>
        <w:ind w:left="644"/>
        <w:jc w:val="both"/>
        <w:rPr>
          <w:rFonts w:asciiTheme="minorHAnsi" w:hAnsiTheme="minorHAnsi" w:cstheme="minorHAnsi"/>
        </w:rPr>
      </w:pPr>
    </w:p>
    <w:p w:rsidR="003841DD" w:rsidRPr="001346E2" w:rsidRDefault="003841DD" w:rsidP="00B47E3F">
      <w:pPr>
        <w:numPr>
          <w:ilvl w:val="0"/>
          <w:numId w:val="11"/>
        </w:numPr>
        <w:spacing w:after="0" w:line="240" w:lineRule="auto"/>
        <w:jc w:val="both"/>
        <w:rPr>
          <w:rFonts w:asciiTheme="minorHAnsi" w:hAnsiTheme="minorHAnsi" w:cstheme="minorHAnsi"/>
        </w:rPr>
      </w:pPr>
      <w:r w:rsidRPr="001346E2">
        <w:rPr>
          <w:rFonts w:asciiTheme="minorHAnsi" w:hAnsiTheme="minorHAnsi" w:cstheme="minorHAnsi"/>
        </w:rPr>
        <w:t xml:space="preserve">Demografski trend </w:t>
      </w:r>
      <w:r w:rsidRPr="001346E2">
        <w:rPr>
          <w:rFonts w:asciiTheme="minorHAnsi" w:hAnsiTheme="minorHAnsi" w:cstheme="minorHAnsi"/>
          <w:b/>
        </w:rPr>
        <w:t>pada broja stanovnika od oko 1% na godišnjem nivou smanjuje potencijalnu</w:t>
      </w:r>
      <w:r w:rsidRPr="001346E2">
        <w:rPr>
          <w:rFonts w:asciiTheme="minorHAnsi" w:hAnsiTheme="minorHAnsi" w:cstheme="minorHAnsi"/>
        </w:rPr>
        <w:t xml:space="preserve"> bazu igrača za isti postotak te se to odražava ne sve grupe igara. Dodatno, lutrijske igre tradicionalno igraju starije osobe čiji je prirodni odljev u još većem postotku, dok mlađe osobe više igraju igre klađenja i Internet Casina. </w:t>
      </w:r>
    </w:p>
    <w:p w:rsidR="003841DD" w:rsidRPr="001346E2" w:rsidRDefault="003841DD" w:rsidP="00B47E3F">
      <w:pPr>
        <w:numPr>
          <w:ilvl w:val="0"/>
          <w:numId w:val="11"/>
        </w:numPr>
        <w:spacing w:after="0" w:line="240" w:lineRule="auto"/>
        <w:jc w:val="both"/>
        <w:rPr>
          <w:rFonts w:asciiTheme="minorHAnsi" w:hAnsiTheme="minorHAnsi" w:cstheme="minorHAnsi"/>
          <w:b/>
        </w:rPr>
      </w:pPr>
      <w:r w:rsidRPr="001346E2">
        <w:rPr>
          <w:rFonts w:asciiTheme="minorHAnsi" w:hAnsiTheme="minorHAnsi" w:cstheme="minorHAnsi"/>
        </w:rPr>
        <w:t xml:space="preserve">Igrači sve češće igraju dinamične i brze igre sa puno učestalih izvlačenja kao što je loto klađenje, klađenje uživo ili Internet casino koje mogu igrati praktično kad požele (sve veći porast mobilnog kanala), a sve manje sporije tradicionalne igre poput izvlačenja lota koja se održavaju jednom ili dva puta tjedno – </w:t>
      </w:r>
      <w:r w:rsidRPr="001346E2">
        <w:rPr>
          <w:rFonts w:asciiTheme="minorHAnsi" w:hAnsiTheme="minorHAnsi" w:cstheme="minorHAnsi"/>
          <w:b/>
        </w:rPr>
        <w:t>evidentan je kontinuirani prelazak igrača sa sporijih lutrijskih igara na brže i učestalije igre Internet casina i klađenja uživo.</w:t>
      </w:r>
    </w:p>
    <w:p w:rsidR="003841DD" w:rsidRPr="001346E2" w:rsidRDefault="003841DD" w:rsidP="00B47E3F">
      <w:pPr>
        <w:numPr>
          <w:ilvl w:val="0"/>
          <w:numId w:val="11"/>
        </w:numPr>
        <w:spacing w:after="0" w:line="240" w:lineRule="auto"/>
        <w:jc w:val="both"/>
        <w:rPr>
          <w:rFonts w:asciiTheme="minorHAnsi" w:hAnsiTheme="minorHAnsi" w:cstheme="minorHAnsi"/>
        </w:rPr>
      </w:pPr>
      <w:r w:rsidRPr="001346E2">
        <w:rPr>
          <w:rFonts w:asciiTheme="minorHAnsi" w:hAnsiTheme="minorHAnsi" w:cstheme="minorHAnsi"/>
        </w:rPr>
        <w:t>Igrači sve više igraju na internetu, a sve manje na zemaljskim; istovremeno raste pritisak za povećanje plaća u poslovnicama, posebno kod privatnih kladionica (iseljavanje, pad broja nezaposlenih)</w:t>
      </w:r>
    </w:p>
    <w:p w:rsidR="003841DD" w:rsidRPr="001346E2" w:rsidRDefault="003841DD" w:rsidP="00B47E3F">
      <w:pPr>
        <w:numPr>
          <w:ilvl w:val="0"/>
          <w:numId w:val="11"/>
        </w:numPr>
        <w:spacing w:after="0" w:line="240" w:lineRule="auto"/>
        <w:jc w:val="both"/>
        <w:rPr>
          <w:rFonts w:asciiTheme="minorHAnsi" w:hAnsiTheme="minorHAnsi" w:cstheme="minorHAnsi"/>
        </w:rPr>
      </w:pPr>
      <w:r w:rsidRPr="001346E2">
        <w:rPr>
          <w:rFonts w:asciiTheme="minorHAnsi" w:hAnsiTheme="minorHAnsi" w:cstheme="minorHAnsi"/>
        </w:rPr>
        <w:t xml:space="preserve">Evidentna je </w:t>
      </w:r>
      <w:r w:rsidRPr="001346E2">
        <w:rPr>
          <w:rFonts w:asciiTheme="minorHAnsi" w:hAnsiTheme="minorHAnsi" w:cstheme="minorHAnsi"/>
          <w:b/>
        </w:rPr>
        <w:t>potreba za naprednim procesima prodaje</w:t>
      </w:r>
      <w:r w:rsidRPr="001346E2">
        <w:rPr>
          <w:rFonts w:asciiTheme="minorHAnsi" w:hAnsiTheme="minorHAnsi" w:cstheme="minorHAnsi"/>
        </w:rPr>
        <w:t xml:space="preserve"> bez kojih nije moguće privući niti zadržati igrače (neovisno o kanalu prodaje i proizvodu/igri).</w:t>
      </w:r>
    </w:p>
    <w:p w:rsidR="003841DD" w:rsidRPr="001346E2" w:rsidRDefault="003841DD" w:rsidP="00B47E3F">
      <w:pPr>
        <w:numPr>
          <w:ilvl w:val="0"/>
          <w:numId w:val="11"/>
        </w:numPr>
        <w:spacing w:after="0" w:line="240" w:lineRule="auto"/>
        <w:jc w:val="both"/>
        <w:rPr>
          <w:rFonts w:asciiTheme="minorHAnsi" w:hAnsiTheme="minorHAnsi" w:cstheme="minorHAnsi"/>
        </w:rPr>
      </w:pPr>
      <w:r w:rsidRPr="001346E2">
        <w:rPr>
          <w:rFonts w:asciiTheme="minorHAnsi" w:hAnsiTheme="minorHAnsi" w:cstheme="minorHAnsi"/>
        </w:rPr>
        <w:t>Regulatorni čimbenici znatno utječu na promet igara, u negativnom smislu (oporezivanje, nedovoljan rad na borbi protiv ilegalnih priređivača, neregulirana tehnološka rješenja – cash out)</w:t>
      </w:r>
    </w:p>
    <w:p w:rsidR="003841DD" w:rsidRPr="001346E2" w:rsidRDefault="003841DD" w:rsidP="00B47E3F">
      <w:pPr>
        <w:numPr>
          <w:ilvl w:val="0"/>
          <w:numId w:val="11"/>
        </w:numPr>
        <w:spacing w:after="0" w:line="240" w:lineRule="auto"/>
        <w:jc w:val="both"/>
        <w:rPr>
          <w:rFonts w:asciiTheme="minorHAnsi" w:hAnsiTheme="minorHAnsi" w:cstheme="minorHAnsi"/>
        </w:rPr>
      </w:pPr>
      <w:r w:rsidRPr="001346E2">
        <w:rPr>
          <w:rFonts w:asciiTheme="minorHAnsi" w:hAnsiTheme="minorHAnsi" w:cstheme="minorHAnsi"/>
        </w:rPr>
        <w:t>Zakon o javnoj nabavi značajan je ograničavajući faktor u borbi s konkurencijom koja nije obveznik javne nabave</w:t>
      </w:r>
    </w:p>
    <w:p w:rsidR="003841DD" w:rsidRPr="001346E2" w:rsidRDefault="003841DD" w:rsidP="003841DD">
      <w:pPr>
        <w:spacing w:after="0" w:line="240" w:lineRule="auto"/>
        <w:ind w:left="644"/>
        <w:jc w:val="both"/>
        <w:rPr>
          <w:rFonts w:asciiTheme="minorHAnsi" w:hAnsiTheme="minorHAnsi" w:cstheme="minorHAnsi"/>
        </w:rPr>
      </w:pPr>
    </w:p>
    <w:p w:rsidR="003841DD" w:rsidRPr="001346E2" w:rsidRDefault="003841DD" w:rsidP="003841DD">
      <w:pPr>
        <w:spacing w:after="0" w:line="240" w:lineRule="auto"/>
        <w:jc w:val="both"/>
        <w:rPr>
          <w:rFonts w:asciiTheme="minorHAnsi" w:hAnsiTheme="minorHAnsi" w:cstheme="minorHAnsi"/>
        </w:rPr>
      </w:pPr>
      <w:r w:rsidRPr="001346E2">
        <w:rPr>
          <w:rFonts w:asciiTheme="minorHAnsi" w:hAnsiTheme="minorHAnsi" w:cstheme="minorHAnsi"/>
        </w:rPr>
        <w:t>Osim toga, za pojed</w:t>
      </w:r>
      <w:r>
        <w:rPr>
          <w:rFonts w:asciiTheme="minorHAnsi" w:hAnsiTheme="minorHAnsi" w:cstheme="minorHAnsi"/>
        </w:rPr>
        <w:t>ine grupe igara evidentni su sl</w:t>
      </w:r>
      <w:r w:rsidRPr="001346E2">
        <w:rPr>
          <w:rFonts w:asciiTheme="minorHAnsi" w:hAnsiTheme="minorHAnsi" w:cstheme="minorHAnsi"/>
        </w:rPr>
        <w:t>jedeći trendovi:</w:t>
      </w:r>
    </w:p>
    <w:p w:rsidR="003841DD" w:rsidRPr="001346E2" w:rsidRDefault="003841DD" w:rsidP="003841DD">
      <w:pPr>
        <w:spacing w:after="0" w:line="240" w:lineRule="auto"/>
        <w:ind w:left="644"/>
        <w:jc w:val="both"/>
        <w:rPr>
          <w:rFonts w:asciiTheme="minorHAnsi" w:hAnsiTheme="minorHAnsi" w:cstheme="minorHAnsi"/>
        </w:rPr>
      </w:pPr>
    </w:p>
    <w:p w:rsidR="003841DD" w:rsidRPr="003841DD" w:rsidRDefault="003841DD" w:rsidP="003841DD">
      <w:pPr>
        <w:jc w:val="both"/>
        <w:rPr>
          <w:b/>
          <w:bCs/>
        </w:rPr>
      </w:pPr>
      <w:r w:rsidRPr="002D2F90">
        <w:rPr>
          <w:b/>
          <w:bCs/>
        </w:rPr>
        <w:lastRenderedPageBreak/>
        <w:t>Lutrijske igre</w:t>
      </w:r>
      <w:r w:rsidRPr="002D2F90">
        <w:t xml:space="preserve"> – evidentan je jači rast Eurojackpota i srećaka u segmentu lutrijskih igara, te pozitivni pomaci u igri Loto 6/45 uvođenjem drugog tjednog izvlačenja. Igrači pokazuju pojačan interes za brzu igru Keno-Brzih 35.</w:t>
      </w:r>
      <w:r w:rsidRPr="002D2F90">
        <w:rPr>
          <w:b/>
          <w:bCs/>
        </w:rPr>
        <w:t xml:space="preserve">  </w:t>
      </w:r>
      <w:r w:rsidRPr="002D2F90">
        <w:t>U 2019. godini očekuje se nastavak trendova rasta srećaka i brze igre, kao i rast prometa redizajnirane igre Loto 7</w:t>
      </w:r>
      <w:r w:rsidRPr="002D2F90">
        <w:rPr>
          <w:b/>
          <w:bCs/>
        </w:rPr>
        <w:t xml:space="preserve">. </w:t>
      </w:r>
      <w:r w:rsidRPr="002D2F90">
        <w:t>Kod igre Eurojackpot očekuje se stagnacija uplata ili čak blagi pad.</w:t>
      </w:r>
    </w:p>
    <w:p w:rsidR="003841DD" w:rsidRPr="002D2F90" w:rsidRDefault="003841DD" w:rsidP="003841DD">
      <w:pPr>
        <w:jc w:val="both"/>
      </w:pPr>
      <w:r w:rsidRPr="002D2F90">
        <w:t>Instant i prigodne srećke su segment koji je daleko od punog potencijala. Uvođenjem Produkt menadžera za taj segment očekuje se sinergija cijelog lanca vrijednosti razvoj proizvoda, marketing, logistika i prodaja, te daljnji značajni iskorak. Kritična točka je nova nabava i moguća promjena dobavljača. Cilj je dobiti kvalitetu tiska ali i know-how, iskustva drugih tržišt</w:t>
      </w:r>
      <w:r>
        <w:t>a, poslovne analize i inovacije</w:t>
      </w:r>
    </w:p>
    <w:p w:rsidR="003841DD" w:rsidRPr="002D2F90" w:rsidRDefault="003841DD" w:rsidP="003841DD">
      <w:pPr>
        <w:jc w:val="both"/>
      </w:pPr>
      <w:r w:rsidRPr="002D2F90">
        <w:t xml:space="preserve">Na osnovu ovih trendova, očekuje se blago pozitivan rast u 2019. godini i ponajviše se odnosi na redizajn igre Loto 7/39 i brze igre te instant i prigodne srećke. </w:t>
      </w:r>
    </w:p>
    <w:p w:rsidR="003841DD" w:rsidRPr="001346E2" w:rsidRDefault="003841DD" w:rsidP="003841DD">
      <w:pPr>
        <w:spacing w:after="0" w:line="240" w:lineRule="auto"/>
        <w:jc w:val="both"/>
        <w:rPr>
          <w:rFonts w:asciiTheme="minorHAnsi" w:hAnsiTheme="minorHAnsi" w:cstheme="minorHAnsi"/>
        </w:rPr>
      </w:pPr>
    </w:p>
    <w:p w:rsidR="003841DD" w:rsidRPr="001346E2" w:rsidRDefault="003841DD" w:rsidP="003841DD">
      <w:pPr>
        <w:spacing w:after="0" w:line="240" w:lineRule="auto"/>
        <w:jc w:val="both"/>
        <w:rPr>
          <w:rFonts w:asciiTheme="minorHAnsi" w:hAnsiTheme="minorHAnsi" w:cstheme="minorHAnsi"/>
        </w:rPr>
      </w:pPr>
      <w:r w:rsidRPr="001346E2">
        <w:rPr>
          <w:rFonts w:asciiTheme="minorHAnsi" w:hAnsiTheme="minorHAnsi" w:cstheme="minorHAnsi"/>
          <w:b/>
        </w:rPr>
        <w:t xml:space="preserve">Klađenje </w:t>
      </w:r>
      <w:r w:rsidRPr="001346E2">
        <w:rPr>
          <w:rFonts w:asciiTheme="minorHAnsi" w:hAnsiTheme="minorHAnsi" w:cstheme="minorHAnsi"/>
        </w:rPr>
        <w:t xml:space="preserve">– </w:t>
      </w:r>
      <w:r w:rsidR="00355D7B">
        <w:rPr>
          <w:rFonts w:asciiTheme="minorHAnsi" w:hAnsiTheme="minorHAnsi" w:cstheme="minorHAnsi"/>
        </w:rPr>
        <w:t>evidentno je nekoliko trendova</w:t>
      </w:r>
      <w:r w:rsidRPr="001346E2">
        <w:rPr>
          <w:rFonts w:asciiTheme="minorHAnsi" w:hAnsiTheme="minorHAnsi" w:cstheme="minorHAnsi"/>
        </w:rPr>
        <w:t>:</w:t>
      </w:r>
    </w:p>
    <w:p w:rsidR="003841DD" w:rsidRPr="001346E2" w:rsidRDefault="003841DD" w:rsidP="003841DD">
      <w:pPr>
        <w:spacing w:after="0" w:line="240" w:lineRule="auto"/>
        <w:jc w:val="both"/>
        <w:rPr>
          <w:rFonts w:asciiTheme="minorHAnsi" w:hAnsiTheme="minorHAnsi" w:cstheme="minorHAnsi"/>
        </w:rPr>
      </w:pPr>
    </w:p>
    <w:p w:rsidR="003841DD" w:rsidRPr="001346E2" w:rsidRDefault="003841DD" w:rsidP="00B47E3F">
      <w:pPr>
        <w:pStyle w:val="ListParagraph"/>
        <w:numPr>
          <w:ilvl w:val="0"/>
          <w:numId w:val="12"/>
        </w:numPr>
        <w:spacing w:after="0" w:line="360" w:lineRule="auto"/>
        <w:jc w:val="both"/>
        <w:rPr>
          <w:rFonts w:asciiTheme="minorHAnsi" w:hAnsiTheme="minorHAnsi" w:cstheme="minorHAnsi"/>
        </w:rPr>
      </w:pPr>
      <w:r w:rsidRPr="001346E2">
        <w:rPr>
          <w:rFonts w:asciiTheme="minorHAnsi" w:hAnsiTheme="minorHAnsi" w:cstheme="minorHAnsi"/>
        </w:rPr>
        <w:t xml:space="preserve">u sve se većem postotku igra klađenje uživo (Internet) u odnosu na pre-match klađenje </w:t>
      </w:r>
    </w:p>
    <w:p w:rsidR="003841DD" w:rsidRPr="001346E2" w:rsidRDefault="003841DD" w:rsidP="00B47E3F">
      <w:pPr>
        <w:pStyle w:val="ListParagraph"/>
        <w:numPr>
          <w:ilvl w:val="0"/>
          <w:numId w:val="12"/>
        </w:numPr>
        <w:spacing w:after="0" w:line="360" w:lineRule="auto"/>
        <w:jc w:val="both"/>
        <w:rPr>
          <w:rFonts w:asciiTheme="minorHAnsi" w:hAnsiTheme="minorHAnsi" w:cstheme="minorHAnsi"/>
        </w:rPr>
      </w:pPr>
      <w:r w:rsidRPr="001346E2">
        <w:rPr>
          <w:rFonts w:asciiTheme="minorHAnsi" w:hAnsiTheme="minorHAnsi" w:cstheme="minorHAnsi"/>
        </w:rPr>
        <w:t>u sve većem postotku igrači igraju na interaktivnim kanalima</w:t>
      </w:r>
    </w:p>
    <w:p w:rsidR="003841DD" w:rsidRPr="001346E2" w:rsidRDefault="003841DD" w:rsidP="00B47E3F">
      <w:pPr>
        <w:pStyle w:val="ListParagraph"/>
        <w:numPr>
          <w:ilvl w:val="0"/>
          <w:numId w:val="12"/>
        </w:numPr>
        <w:spacing w:after="0" w:line="360" w:lineRule="auto"/>
        <w:jc w:val="both"/>
        <w:rPr>
          <w:rFonts w:asciiTheme="minorHAnsi" w:hAnsiTheme="minorHAnsi" w:cstheme="minorHAnsi"/>
        </w:rPr>
      </w:pPr>
      <w:r w:rsidRPr="001346E2">
        <w:rPr>
          <w:rFonts w:asciiTheme="minorHAnsi" w:hAnsiTheme="minorHAnsi" w:cstheme="minorHAnsi"/>
        </w:rPr>
        <w:t xml:space="preserve">dio igrača koji prijeđe na interaktivne kanale počinje igrati kod nelicenciranih priređivača (npr. Bet365.com) gdje ne plaćaju naknadu za klađenje i porez na dobit </w:t>
      </w:r>
    </w:p>
    <w:p w:rsidR="003841DD" w:rsidRPr="001346E2" w:rsidRDefault="003841DD" w:rsidP="00B47E3F">
      <w:pPr>
        <w:pStyle w:val="ListParagraph"/>
        <w:numPr>
          <w:ilvl w:val="0"/>
          <w:numId w:val="12"/>
        </w:numPr>
        <w:spacing w:after="0" w:line="360" w:lineRule="auto"/>
        <w:jc w:val="both"/>
        <w:rPr>
          <w:rFonts w:asciiTheme="minorHAnsi" w:hAnsiTheme="minorHAnsi" w:cstheme="minorHAnsi"/>
        </w:rPr>
      </w:pPr>
      <w:r w:rsidRPr="001346E2">
        <w:rPr>
          <w:rFonts w:asciiTheme="minorHAnsi" w:hAnsiTheme="minorHAnsi" w:cstheme="minorHAnsi"/>
        </w:rPr>
        <w:t>porez na sve dobitke od igara klađenja, uveden 2015.</w:t>
      </w:r>
      <w:r w:rsidR="00355D7B">
        <w:rPr>
          <w:rFonts w:asciiTheme="minorHAnsi" w:hAnsiTheme="minorHAnsi" w:cstheme="minorHAnsi"/>
        </w:rPr>
        <w:t>godine</w:t>
      </w:r>
      <w:r w:rsidRPr="001346E2">
        <w:rPr>
          <w:rFonts w:asciiTheme="minorHAnsi" w:hAnsiTheme="minorHAnsi" w:cstheme="minorHAnsi"/>
        </w:rPr>
        <w:t>,  izrazito je utjecao na promete igara klađenja na tržištu RH – prema dostupnim podacima MF (za prvih 5 mjeseci 2018.) tržište pada 7%</w:t>
      </w:r>
    </w:p>
    <w:p w:rsidR="003841DD" w:rsidRPr="001346E2" w:rsidRDefault="003841DD" w:rsidP="003841DD">
      <w:pPr>
        <w:spacing w:after="0" w:line="240" w:lineRule="auto"/>
        <w:jc w:val="both"/>
        <w:rPr>
          <w:rFonts w:asciiTheme="minorHAnsi" w:hAnsiTheme="minorHAnsi" w:cstheme="minorHAnsi"/>
        </w:rPr>
      </w:pPr>
    </w:p>
    <w:p w:rsidR="003841DD" w:rsidRPr="001346E2" w:rsidRDefault="00355D7B" w:rsidP="003841DD">
      <w:pPr>
        <w:spacing w:after="0" w:line="240" w:lineRule="auto"/>
        <w:jc w:val="both"/>
        <w:rPr>
          <w:rFonts w:asciiTheme="minorHAnsi" w:hAnsiTheme="minorHAnsi" w:cstheme="minorHAnsi"/>
        </w:rPr>
      </w:pPr>
      <w:r>
        <w:rPr>
          <w:rFonts w:asciiTheme="minorHAnsi" w:hAnsiTheme="minorHAnsi" w:cstheme="minorHAnsi"/>
        </w:rPr>
        <w:t>Hrvatska Lutrija</w:t>
      </w:r>
      <w:r w:rsidR="003841DD" w:rsidRPr="001346E2">
        <w:rPr>
          <w:rFonts w:asciiTheme="minorHAnsi" w:hAnsiTheme="minorHAnsi" w:cstheme="minorHAnsi"/>
        </w:rPr>
        <w:t xml:space="preserve"> se u 2019. godini pokušava prilagoditi prije svega značajnim proširenjem ponude klađenja uživo, što zajedno sa ostalim planiranim akcijama u segmentu klađenja treba rezultirati ostvarenjem pla</w:t>
      </w:r>
      <w:r w:rsidR="00FC7F81">
        <w:rPr>
          <w:rFonts w:asciiTheme="minorHAnsi" w:hAnsiTheme="minorHAnsi" w:cstheme="minorHAnsi"/>
        </w:rPr>
        <w:t>niranih prometa i prihoda u 2019</w:t>
      </w:r>
      <w:r w:rsidR="003841DD" w:rsidRPr="001346E2">
        <w:rPr>
          <w:rFonts w:asciiTheme="minorHAnsi" w:hAnsiTheme="minorHAnsi" w:cstheme="minorHAnsi"/>
        </w:rPr>
        <w:t xml:space="preserve">. godini. </w:t>
      </w:r>
    </w:p>
    <w:p w:rsidR="003841DD" w:rsidRPr="001346E2" w:rsidRDefault="003841DD" w:rsidP="003841DD">
      <w:pPr>
        <w:spacing w:after="0" w:line="240" w:lineRule="auto"/>
        <w:jc w:val="both"/>
        <w:rPr>
          <w:rFonts w:asciiTheme="minorHAnsi" w:hAnsiTheme="minorHAnsi" w:cstheme="minorHAnsi"/>
        </w:rPr>
      </w:pPr>
    </w:p>
    <w:p w:rsidR="003841DD" w:rsidRPr="001346E2" w:rsidRDefault="003841DD" w:rsidP="003841DD">
      <w:pPr>
        <w:spacing w:after="0" w:line="240" w:lineRule="auto"/>
        <w:jc w:val="both"/>
        <w:rPr>
          <w:rFonts w:asciiTheme="minorHAnsi" w:hAnsiTheme="minorHAnsi" w:cstheme="minorHAnsi"/>
        </w:rPr>
      </w:pPr>
      <w:r w:rsidRPr="001346E2">
        <w:rPr>
          <w:rFonts w:asciiTheme="minorHAnsi" w:hAnsiTheme="minorHAnsi" w:cstheme="minorHAnsi"/>
          <w:b/>
        </w:rPr>
        <w:t xml:space="preserve">Internet casino </w:t>
      </w:r>
      <w:r w:rsidRPr="001346E2">
        <w:rPr>
          <w:rFonts w:asciiTheme="minorHAnsi" w:hAnsiTheme="minorHAnsi" w:cstheme="minorHAnsi"/>
        </w:rPr>
        <w:t xml:space="preserve">– najznačajnija promjena u 2019. je </w:t>
      </w:r>
      <w:r w:rsidRPr="001346E2">
        <w:rPr>
          <w:rFonts w:asciiTheme="minorHAnsi" w:hAnsiTheme="minorHAnsi" w:cstheme="minorHAnsi"/>
          <w:b/>
        </w:rPr>
        <w:t>dolazak novog konkurenata</w:t>
      </w:r>
      <w:r w:rsidRPr="001346E2">
        <w:rPr>
          <w:rFonts w:asciiTheme="minorHAnsi" w:hAnsiTheme="minorHAnsi" w:cstheme="minorHAnsi"/>
        </w:rPr>
        <w:t xml:space="preserve"> (očekuje se još jedan priređivača). Ovisno o angažmanu postojeće i nove konkurencije, tržište će rasti i dijeliti se među priređivačima. </w:t>
      </w:r>
      <w:r w:rsidR="00355D7B">
        <w:rPr>
          <w:rFonts w:asciiTheme="minorHAnsi" w:hAnsiTheme="minorHAnsi" w:cstheme="minorHAnsi"/>
        </w:rPr>
        <w:t>Udio tržišta Hrvatske Lutrije</w:t>
      </w:r>
      <w:r w:rsidRPr="009343CC">
        <w:rPr>
          <w:rFonts w:asciiTheme="minorHAnsi" w:hAnsiTheme="minorHAnsi" w:cstheme="minorHAnsi"/>
        </w:rPr>
        <w:t xml:space="preserve"> ovisit će umnogome o stvaranju potrebnih preduvjeta, zapošljavanju potrebnih djelatnika i njihovom ekipiranju.</w:t>
      </w:r>
      <w:r w:rsidRPr="001346E2">
        <w:rPr>
          <w:rFonts w:asciiTheme="minorHAnsi" w:hAnsiTheme="minorHAnsi" w:cstheme="minorHAnsi"/>
          <w:b/>
        </w:rPr>
        <w:t xml:space="preserve"> </w:t>
      </w:r>
      <w:r w:rsidRPr="001346E2">
        <w:rPr>
          <w:rFonts w:asciiTheme="minorHAnsi" w:hAnsiTheme="minorHAnsi" w:cstheme="minorHAnsi"/>
        </w:rPr>
        <w:t>Ovisno o brzini stvaranja preduvjeta rezultat u 2019. bi mogao biti u najboljem slučaju pozicioniranje na tržištu Internet casina sa udjelom preko 30%.</w:t>
      </w:r>
    </w:p>
    <w:p w:rsidR="003841DD" w:rsidRDefault="003841DD" w:rsidP="003841DD">
      <w:pPr>
        <w:spacing w:after="0" w:line="240" w:lineRule="auto"/>
        <w:jc w:val="both"/>
        <w:rPr>
          <w:rFonts w:asciiTheme="minorHAnsi" w:hAnsiTheme="minorHAnsi" w:cstheme="minorHAnsi"/>
        </w:rPr>
      </w:pPr>
    </w:p>
    <w:p w:rsidR="003841DD" w:rsidRDefault="003841DD" w:rsidP="003841DD">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3841DD" w:rsidRDefault="003841DD"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4B199B" w:rsidRDefault="004B199B" w:rsidP="006C73F1">
      <w:pPr>
        <w:spacing w:after="0" w:line="240" w:lineRule="auto"/>
        <w:jc w:val="both"/>
        <w:rPr>
          <w:rFonts w:asciiTheme="minorHAnsi" w:hAnsiTheme="minorHAnsi" w:cstheme="minorHAnsi"/>
        </w:rPr>
      </w:pPr>
    </w:p>
    <w:p w:rsidR="009D17F6" w:rsidRDefault="003A09B6" w:rsidP="0050539F">
      <w:pPr>
        <w:pStyle w:val="Heading1"/>
        <w:numPr>
          <w:ilvl w:val="0"/>
          <w:numId w:val="1"/>
        </w:numPr>
        <w:ind w:left="567" w:hanging="567"/>
        <w:jc w:val="both"/>
        <w:rPr>
          <w:rFonts w:ascii="Calibri" w:hAnsi="Calibri" w:cs="Calibri"/>
          <w:sz w:val="28"/>
          <w:szCs w:val="28"/>
        </w:rPr>
      </w:pPr>
      <w:bookmarkStart w:id="7" w:name="_Toc532299611"/>
      <w:r w:rsidRPr="001135C4">
        <w:rPr>
          <w:rFonts w:ascii="Calibri" w:hAnsi="Calibri" w:cs="Calibri"/>
          <w:sz w:val="28"/>
          <w:szCs w:val="28"/>
        </w:rPr>
        <w:t>STRATEŠK</w:t>
      </w:r>
      <w:r w:rsidR="001135C4">
        <w:rPr>
          <w:rFonts w:ascii="Calibri" w:hAnsi="Calibri" w:cs="Calibri"/>
          <w:sz w:val="28"/>
          <w:szCs w:val="28"/>
        </w:rPr>
        <w:t>E INICIJATIVE</w:t>
      </w:r>
      <w:bookmarkEnd w:id="7"/>
      <w:r w:rsidR="001135C4">
        <w:rPr>
          <w:rFonts w:ascii="Calibri" w:hAnsi="Calibri" w:cs="Calibri"/>
          <w:sz w:val="28"/>
          <w:szCs w:val="28"/>
        </w:rPr>
        <w:t xml:space="preserve"> </w:t>
      </w:r>
    </w:p>
    <w:p w:rsidR="001135C4" w:rsidRPr="001135C4" w:rsidRDefault="001135C4" w:rsidP="001135C4"/>
    <w:p w:rsidR="009D17F6" w:rsidRPr="007A598F" w:rsidRDefault="00AA3E53" w:rsidP="009D17F6">
      <w:pPr>
        <w:jc w:val="both"/>
        <w:rPr>
          <w:rFonts w:asciiTheme="minorHAnsi" w:hAnsiTheme="minorHAnsi"/>
        </w:rPr>
      </w:pPr>
      <w:r>
        <w:rPr>
          <w:rFonts w:asciiTheme="minorHAnsi" w:hAnsiTheme="minorHAnsi"/>
        </w:rPr>
        <w:t>U procesu definiranja trenutno važeće</w:t>
      </w:r>
      <w:r w:rsidR="009D17F6" w:rsidRPr="007A598F">
        <w:rPr>
          <w:rFonts w:asciiTheme="minorHAnsi" w:hAnsiTheme="minorHAnsi"/>
        </w:rPr>
        <w:t xml:space="preserve"> Strategije</w:t>
      </w:r>
      <w:r>
        <w:rPr>
          <w:rFonts w:asciiTheme="minorHAnsi" w:hAnsiTheme="minorHAnsi"/>
        </w:rPr>
        <w:t xml:space="preserve"> razvoja Hrvatske lutrije</w:t>
      </w:r>
      <w:r w:rsidR="009D17F6" w:rsidRPr="007A598F">
        <w:rPr>
          <w:rFonts w:asciiTheme="minorHAnsi" w:hAnsiTheme="minorHAnsi"/>
        </w:rPr>
        <w:t xml:space="preserve"> </w:t>
      </w:r>
      <w:r>
        <w:rPr>
          <w:rFonts w:asciiTheme="minorHAnsi" w:hAnsiTheme="minorHAnsi"/>
        </w:rPr>
        <w:t>za razdoblje 2018</w:t>
      </w:r>
      <w:r w:rsidR="00355D7B">
        <w:rPr>
          <w:rFonts w:asciiTheme="minorHAnsi" w:hAnsiTheme="minorHAnsi"/>
        </w:rPr>
        <w:t>.</w:t>
      </w:r>
      <w:r>
        <w:rPr>
          <w:rFonts w:asciiTheme="minorHAnsi" w:hAnsiTheme="minorHAnsi"/>
        </w:rPr>
        <w:t>-2022</w:t>
      </w:r>
      <w:r w:rsidR="00355D7B">
        <w:rPr>
          <w:rFonts w:asciiTheme="minorHAnsi" w:hAnsiTheme="minorHAnsi"/>
        </w:rPr>
        <w:t>.godine</w:t>
      </w:r>
      <w:r>
        <w:rPr>
          <w:rFonts w:asciiTheme="minorHAnsi" w:hAnsiTheme="minorHAnsi"/>
        </w:rPr>
        <w:t>, a n</w:t>
      </w:r>
      <w:r w:rsidR="009D17F6" w:rsidRPr="007A598F">
        <w:rPr>
          <w:rFonts w:eastAsia="Calibri"/>
        </w:rPr>
        <w:t xml:space="preserve">akon provedene analize strateškog položaja </w:t>
      </w:r>
      <w:r w:rsidR="00355D7B">
        <w:rPr>
          <w:rFonts w:eastAsia="Calibri"/>
        </w:rPr>
        <w:t>Hrvatske Lutrije</w:t>
      </w:r>
      <w:r w:rsidR="009D17F6" w:rsidRPr="007A598F">
        <w:rPr>
          <w:rFonts w:eastAsia="Calibri"/>
        </w:rPr>
        <w:t xml:space="preserve"> te analize internog okruženja i učinkovitosti poslovanja kao i analize trendova u industriji igara na sreću</w:t>
      </w:r>
      <w:r>
        <w:rPr>
          <w:rFonts w:eastAsia="Calibri"/>
        </w:rPr>
        <w:t>,</w:t>
      </w:r>
      <w:r w:rsidR="009D17F6" w:rsidRPr="007A598F">
        <w:rPr>
          <w:rFonts w:eastAsia="Calibri"/>
        </w:rPr>
        <w:t xml:space="preserve"> </w:t>
      </w:r>
      <w:r w:rsidR="0015762C">
        <w:rPr>
          <w:rFonts w:eastAsia="Calibri"/>
        </w:rPr>
        <w:t>definirana</w:t>
      </w:r>
      <w:r w:rsidR="009D17F6" w:rsidRPr="007A598F">
        <w:rPr>
          <w:rFonts w:eastAsia="Calibri"/>
        </w:rPr>
        <w:t xml:space="preserve"> su četiri </w:t>
      </w:r>
      <w:r w:rsidR="0015762C">
        <w:rPr>
          <w:rFonts w:eastAsia="Calibri"/>
        </w:rPr>
        <w:t xml:space="preserve">ključna </w:t>
      </w:r>
      <w:r w:rsidR="009D17F6" w:rsidRPr="007A598F">
        <w:rPr>
          <w:rFonts w:eastAsia="Calibri"/>
        </w:rPr>
        <w:t xml:space="preserve">područja </w:t>
      </w:r>
      <w:r w:rsidR="009D17F6" w:rsidRPr="007A598F">
        <w:rPr>
          <w:rFonts w:asciiTheme="minorHAnsi" w:hAnsiTheme="minorHAnsi"/>
        </w:rPr>
        <w:t>strateg</w:t>
      </w:r>
      <w:r w:rsidR="0015762C">
        <w:rPr>
          <w:rFonts w:asciiTheme="minorHAnsi" w:hAnsiTheme="minorHAnsi"/>
        </w:rPr>
        <w:t>ije organskog rasta</w:t>
      </w:r>
      <w:r w:rsidR="009D17F6" w:rsidRPr="007A598F">
        <w:rPr>
          <w:rFonts w:asciiTheme="minorHAnsi" w:hAnsiTheme="minorHAnsi"/>
        </w:rPr>
        <w:t xml:space="preserve"> </w:t>
      </w:r>
      <w:r w:rsidR="0015762C">
        <w:rPr>
          <w:rFonts w:asciiTheme="minorHAnsi" w:hAnsiTheme="minorHAnsi"/>
        </w:rPr>
        <w:t>i pripadajuće inicijative kojima će se navedena strategija ostvariti</w:t>
      </w:r>
      <w:r w:rsidR="009D17F6" w:rsidRPr="007A598F">
        <w:rPr>
          <w:rFonts w:asciiTheme="minorHAnsi" w:hAnsiTheme="minorHAnsi"/>
        </w:rPr>
        <w:t>:</w:t>
      </w:r>
    </w:p>
    <w:p w:rsidR="00404E9E" w:rsidRPr="007A598F" w:rsidRDefault="009D17F6" w:rsidP="00B47E3F">
      <w:pPr>
        <w:pStyle w:val="ListParagraph"/>
        <w:numPr>
          <w:ilvl w:val="0"/>
          <w:numId w:val="17"/>
        </w:numPr>
        <w:spacing w:after="0" w:line="240" w:lineRule="auto"/>
        <w:jc w:val="both"/>
        <w:rPr>
          <w:rFonts w:eastAsia="Calibri"/>
        </w:rPr>
      </w:pPr>
      <w:r w:rsidRPr="007A598F">
        <w:rPr>
          <w:rFonts w:asciiTheme="minorHAnsi" w:hAnsiTheme="minorHAnsi"/>
        </w:rPr>
        <w:t>Upravljanje igračima – s fokusom na akviziciji novih igrača, novoj igračkoj platformi te naprednim alatima za upravljanje odnosom s igračima (CRM) te poslovnu inteligenciju (BI)</w:t>
      </w:r>
    </w:p>
    <w:p w:rsidR="00404E9E" w:rsidRPr="007A598F" w:rsidRDefault="009D17F6" w:rsidP="00B47E3F">
      <w:pPr>
        <w:pStyle w:val="ListParagraph"/>
        <w:numPr>
          <w:ilvl w:val="0"/>
          <w:numId w:val="17"/>
        </w:numPr>
        <w:spacing w:after="0" w:line="240" w:lineRule="auto"/>
        <w:jc w:val="both"/>
        <w:rPr>
          <w:rFonts w:eastAsia="Calibri"/>
        </w:rPr>
      </w:pPr>
      <w:r w:rsidRPr="007A598F">
        <w:rPr>
          <w:rFonts w:eastAsia="Calibri"/>
        </w:rPr>
        <w:t>Modernizacija portfelja igara – s fokusom na upravljanje portfeljem svih igara (tržišni i netržišni segment), dizajn novih te redizajn postojećih igara te daljnjim naglaskom na razvoju portfelja i prodaje srećaka</w:t>
      </w:r>
    </w:p>
    <w:p w:rsidR="009D17F6" w:rsidRPr="007A598F" w:rsidRDefault="009D17F6" w:rsidP="00B47E3F">
      <w:pPr>
        <w:pStyle w:val="ListParagraph"/>
        <w:numPr>
          <w:ilvl w:val="0"/>
          <w:numId w:val="17"/>
        </w:numPr>
        <w:spacing w:after="0" w:line="240" w:lineRule="auto"/>
        <w:jc w:val="both"/>
        <w:rPr>
          <w:rFonts w:eastAsia="Calibri"/>
        </w:rPr>
      </w:pPr>
      <w:r w:rsidRPr="007A598F">
        <w:rPr>
          <w:rFonts w:eastAsia="Calibri"/>
        </w:rPr>
        <w:t>Prodaja 2022</w:t>
      </w:r>
      <w:r w:rsidR="0050539F">
        <w:rPr>
          <w:rFonts w:eastAsia="Calibri"/>
        </w:rPr>
        <w:t>.</w:t>
      </w:r>
      <w:r w:rsidRPr="007A598F">
        <w:rPr>
          <w:rFonts w:eastAsia="Calibri"/>
        </w:rPr>
        <w:t xml:space="preserve"> - s fokusom na </w:t>
      </w:r>
      <w:r w:rsidR="0050539F">
        <w:rPr>
          <w:rFonts w:eastAsia="Calibri"/>
        </w:rPr>
        <w:t>modernizaciju, redizajn i brandiranje</w:t>
      </w:r>
      <w:r w:rsidRPr="007A598F">
        <w:rPr>
          <w:rFonts w:eastAsia="Calibri"/>
        </w:rPr>
        <w:t xml:space="preserve"> prodajnih mjesta, razvoj novih poslovnih modela (uključivo franšiza i strateška partnerstva) te daljnji razvoj mreže automat klubova</w:t>
      </w:r>
    </w:p>
    <w:p w:rsidR="009D17F6" w:rsidRPr="007A598F" w:rsidRDefault="009D17F6" w:rsidP="00B47E3F">
      <w:pPr>
        <w:pStyle w:val="ListParagraph"/>
        <w:numPr>
          <w:ilvl w:val="0"/>
          <w:numId w:val="17"/>
        </w:numPr>
        <w:spacing w:after="0" w:line="240" w:lineRule="auto"/>
        <w:jc w:val="both"/>
        <w:rPr>
          <w:rFonts w:eastAsia="Calibri"/>
        </w:rPr>
      </w:pPr>
      <w:r w:rsidRPr="007A598F">
        <w:rPr>
          <w:rFonts w:eastAsia="Calibri"/>
        </w:rPr>
        <w:t>Unapređenje upravljanje ljudskim potencijalima - s fokusom na sustav nagrađivanja, uvođenje upravljanja proizvodima i kanalima te razvoj i zadržavanje zaposlenika.</w:t>
      </w:r>
    </w:p>
    <w:p w:rsidR="00AA11A1" w:rsidRPr="007A598F" w:rsidRDefault="00AA11A1" w:rsidP="009D17F6">
      <w:pPr>
        <w:jc w:val="both"/>
        <w:rPr>
          <w:rFonts w:asciiTheme="minorHAnsi" w:hAnsiTheme="minorHAnsi"/>
        </w:rPr>
      </w:pPr>
    </w:p>
    <w:p w:rsidR="003A09B6" w:rsidRPr="007A598F" w:rsidRDefault="003A09B6" w:rsidP="00E22AD5">
      <w:pPr>
        <w:pStyle w:val="Heading1"/>
        <w:numPr>
          <w:ilvl w:val="1"/>
          <w:numId w:val="1"/>
        </w:numPr>
        <w:jc w:val="both"/>
        <w:rPr>
          <w:rFonts w:ascii="Calibri" w:hAnsi="Calibri" w:cs="Calibri"/>
          <w:sz w:val="28"/>
          <w:szCs w:val="28"/>
        </w:rPr>
      </w:pPr>
      <w:bookmarkStart w:id="8" w:name="_Toc532299612"/>
      <w:r w:rsidRPr="007A598F">
        <w:rPr>
          <w:rFonts w:ascii="Calibri" w:hAnsi="Calibri" w:cs="Calibri"/>
          <w:sz w:val="28"/>
          <w:szCs w:val="28"/>
        </w:rPr>
        <w:t>STRATEŠKI CILJEVI ZA</w:t>
      </w:r>
      <w:r w:rsidR="0044673D">
        <w:rPr>
          <w:rFonts w:ascii="Calibri" w:hAnsi="Calibri" w:cs="Calibri"/>
          <w:sz w:val="28"/>
          <w:szCs w:val="28"/>
        </w:rPr>
        <w:t xml:space="preserve"> 2019</w:t>
      </w:r>
      <w:r w:rsidRPr="007A598F">
        <w:rPr>
          <w:rFonts w:ascii="Calibri" w:hAnsi="Calibri" w:cs="Calibri"/>
          <w:sz w:val="28"/>
          <w:szCs w:val="28"/>
        </w:rPr>
        <w:t>.</w:t>
      </w:r>
      <w:r w:rsidR="00B3315D">
        <w:rPr>
          <w:rFonts w:ascii="Calibri" w:hAnsi="Calibri" w:cs="Calibri"/>
          <w:sz w:val="28"/>
          <w:szCs w:val="28"/>
        </w:rPr>
        <w:t xml:space="preserve"> GODINU</w:t>
      </w:r>
      <w:r w:rsidRPr="007A598F">
        <w:rPr>
          <w:rFonts w:ascii="Calibri" w:hAnsi="Calibri" w:cs="Calibri"/>
          <w:sz w:val="28"/>
          <w:szCs w:val="28"/>
        </w:rPr>
        <w:t xml:space="preserve"> I AKTIVNOSTI ZA OSTVARENJE ISTIH</w:t>
      </w:r>
      <w:bookmarkEnd w:id="8"/>
    </w:p>
    <w:p w:rsidR="00404E9E" w:rsidRPr="007A598F" w:rsidRDefault="00404E9E" w:rsidP="00E22AD5">
      <w:pPr>
        <w:pStyle w:val="Heading1"/>
        <w:numPr>
          <w:ilvl w:val="2"/>
          <w:numId w:val="1"/>
        </w:numPr>
        <w:jc w:val="both"/>
        <w:rPr>
          <w:rFonts w:ascii="Calibri" w:hAnsi="Calibri" w:cs="Calibri"/>
          <w:sz w:val="28"/>
          <w:szCs w:val="28"/>
        </w:rPr>
      </w:pPr>
      <w:bookmarkStart w:id="9" w:name="_Toc532299613"/>
      <w:r w:rsidRPr="007A598F">
        <w:rPr>
          <w:rFonts w:ascii="Calibri" w:hAnsi="Calibri" w:cs="Calibri"/>
          <w:sz w:val="28"/>
          <w:szCs w:val="28"/>
        </w:rPr>
        <w:t>Upravljanje igračima</w:t>
      </w:r>
      <w:bookmarkEnd w:id="9"/>
    </w:p>
    <w:p w:rsidR="00132D30" w:rsidRDefault="00404E9E" w:rsidP="00404E9E">
      <w:pPr>
        <w:jc w:val="both"/>
        <w:rPr>
          <w:rFonts w:asciiTheme="minorHAnsi" w:hAnsiTheme="minorHAnsi"/>
        </w:rPr>
      </w:pPr>
      <w:r w:rsidRPr="007A598F">
        <w:rPr>
          <w:rFonts w:asciiTheme="minorHAnsi" w:hAnsiTheme="minorHAnsi"/>
        </w:rPr>
        <w:t xml:space="preserve">S obzirom na trend značajnog smanjenja broja aktivnih igrača potrebno je promijeniti fokus/paradigmu s postojećih igrača i igara na akviziciju (ne)igrača te </w:t>
      </w:r>
      <w:r w:rsidR="00132D30">
        <w:rPr>
          <w:rFonts w:asciiTheme="minorHAnsi" w:hAnsiTheme="minorHAnsi"/>
        </w:rPr>
        <w:t>na povremene igrače i nove igre.</w:t>
      </w:r>
    </w:p>
    <w:p w:rsidR="00404E9E" w:rsidRPr="007A598F" w:rsidRDefault="00404E9E" w:rsidP="00404E9E">
      <w:pPr>
        <w:jc w:val="both"/>
        <w:rPr>
          <w:rFonts w:asciiTheme="minorHAnsi" w:hAnsiTheme="minorHAnsi"/>
        </w:rPr>
      </w:pPr>
      <w:r w:rsidRPr="007A598F">
        <w:rPr>
          <w:rFonts w:asciiTheme="minorHAnsi" w:hAnsiTheme="minorHAnsi"/>
        </w:rPr>
        <w:t xml:space="preserve">Strateška grupa inicijativa „Upravljanje igračima” </w:t>
      </w:r>
      <w:r w:rsidR="00132D30">
        <w:rPr>
          <w:rFonts w:asciiTheme="minorHAnsi" w:hAnsiTheme="minorHAnsi"/>
        </w:rPr>
        <w:t xml:space="preserve">u konačnici ima za </w:t>
      </w:r>
      <w:r w:rsidRPr="007A598F">
        <w:rPr>
          <w:rFonts w:asciiTheme="minorHAnsi" w:hAnsiTheme="minorHAnsi"/>
        </w:rPr>
        <w:t>cilj</w:t>
      </w:r>
      <w:r w:rsidR="00132D30">
        <w:rPr>
          <w:rFonts w:asciiTheme="minorHAnsi" w:hAnsiTheme="minorHAnsi"/>
        </w:rPr>
        <w:t xml:space="preserve"> ostvarenje tehnoloških pretpostavki za</w:t>
      </w:r>
      <w:r w:rsidRPr="007A598F">
        <w:rPr>
          <w:rFonts w:asciiTheme="minorHAnsi" w:hAnsiTheme="minorHAnsi"/>
        </w:rPr>
        <w:t xml:space="preserve">: </w:t>
      </w:r>
    </w:p>
    <w:p w:rsidR="00404E9E" w:rsidRPr="007A598F" w:rsidRDefault="00404E9E" w:rsidP="00B47E3F">
      <w:pPr>
        <w:pStyle w:val="ListParagraph"/>
        <w:numPr>
          <w:ilvl w:val="0"/>
          <w:numId w:val="18"/>
        </w:numPr>
        <w:spacing w:after="0" w:line="240" w:lineRule="auto"/>
        <w:jc w:val="both"/>
        <w:rPr>
          <w:rFonts w:asciiTheme="minorHAnsi" w:hAnsiTheme="minorHAnsi"/>
        </w:rPr>
      </w:pPr>
      <w:r w:rsidRPr="007A598F">
        <w:rPr>
          <w:rFonts w:asciiTheme="minorHAnsi" w:hAnsiTheme="minorHAnsi"/>
        </w:rPr>
        <w:t xml:space="preserve">Povećanje broja igrača – kroz akviziciju </w:t>
      </w:r>
      <w:r w:rsidR="00180163">
        <w:rPr>
          <w:rFonts w:asciiTheme="minorHAnsi" w:hAnsiTheme="minorHAnsi"/>
        </w:rPr>
        <w:t>(</w:t>
      </w:r>
      <w:r w:rsidRPr="007A598F">
        <w:rPr>
          <w:rFonts w:asciiTheme="minorHAnsi" w:hAnsiTheme="minorHAnsi"/>
        </w:rPr>
        <w:t>ne</w:t>
      </w:r>
      <w:r w:rsidR="00180163">
        <w:rPr>
          <w:rFonts w:asciiTheme="minorHAnsi" w:hAnsiTheme="minorHAnsi"/>
        </w:rPr>
        <w:t>)</w:t>
      </w:r>
      <w:r w:rsidRPr="007A598F">
        <w:rPr>
          <w:rFonts w:asciiTheme="minorHAnsi" w:hAnsiTheme="minorHAnsi"/>
        </w:rPr>
        <w:t>igrača.</w:t>
      </w:r>
    </w:p>
    <w:p w:rsidR="00404E9E" w:rsidRPr="007A598F" w:rsidRDefault="00404E9E" w:rsidP="00B47E3F">
      <w:pPr>
        <w:pStyle w:val="ListParagraph"/>
        <w:numPr>
          <w:ilvl w:val="0"/>
          <w:numId w:val="18"/>
        </w:numPr>
        <w:spacing w:after="0" w:line="240" w:lineRule="auto"/>
        <w:jc w:val="both"/>
        <w:rPr>
          <w:rFonts w:asciiTheme="minorHAnsi" w:hAnsiTheme="minorHAnsi"/>
        </w:rPr>
      </w:pPr>
      <w:r w:rsidRPr="007A598F">
        <w:rPr>
          <w:rFonts w:asciiTheme="minorHAnsi" w:hAnsiTheme="minorHAnsi"/>
        </w:rPr>
        <w:t>Produženje „životnog vijeka” igranja postojećih igrača.</w:t>
      </w:r>
    </w:p>
    <w:p w:rsidR="00404E9E" w:rsidRPr="007A598F" w:rsidRDefault="00404E9E" w:rsidP="00404E9E">
      <w:pPr>
        <w:jc w:val="both"/>
        <w:rPr>
          <w:rFonts w:asciiTheme="minorHAnsi" w:hAnsiTheme="minorHAnsi"/>
        </w:rPr>
      </w:pPr>
    </w:p>
    <w:p w:rsidR="00404E9E" w:rsidRPr="007A598F" w:rsidRDefault="00404E9E" w:rsidP="00404E9E">
      <w:pPr>
        <w:jc w:val="both"/>
        <w:rPr>
          <w:rFonts w:asciiTheme="minorHAnsi" w:hAnsiTheme="minorHAnsi"/>
        </w:rPr>
      </w:pPr>
      <w:r w:rsidRPr="007A598F">
        <w:rPr>
          <w:rFonts w:asciiTheme="minorHAnsi" w:hAnsiTheme="minorHAnsi"/>
        </w:rPr>
        <w:t>Ova grupa inicijativa uključuje nekoliko međusobno povezanih (ali vremenski odvojivih) cjelina, odnosno elemenata (pretpostavki) koje je potrebno ostvariti u okviru ove inicijative:</w:t>
      </w:r>
    </w:p>
    <w:p w:rsidR="00404E9E" w:rsidRPr="006B4D69" w:rsidRDefault="00404E9E" w:rsidP="006B4D69">
      <w:pPr>
        <w:pStyle w:val="ListParagraph"/>
        <w:numPr>
          <w:ilvl w:val="0"/>
          <w:numId w:val="35"/>
        </w:numPr>
        <w:spacing w:after="0" w:line="240" w:lineRule="auto"/>
        <w:jc w:val="both"/>
        <w:rPr>
          <w:rFonts w:asciiTheme="minorHAnsi" w:hAnsiTheme="minorHAnsi"/>
        </w:rPr>
      </w:pPr>
      <w:r w:rsidRPr="006B4D69">
        <w:rPr>
          <w:rFonts w:asciiTheme="minorHAnsi" w:hAnsiTheme="minorHAnsi"/>
          <w:b/>
        </w:rPr>
        <w:t>Zamjena tehnološke platforme</w:t>
      </w:r>
      <w:r w:rsidRPr="006B4D69">
        <w:rPr>
          <w:rFonts w:asciiTheme="minorHAnsi" w:hAnsiTheme="minorHAnsi"/>
        </w:rPr>
        <w:t>, što uključuje povezane inicijative:</w:t>
      </w:r>
    </w:p>
    <w:p w:rsidR="006B4D69" w:rsidRPr="006B4D69" w:rsidRDefault="006B4D69" w:rsidP="006B4D69">
      <w:pPr>
        <w:pStyle w:val="ListParagraph"/>
        <w:spacing w:after="0" w:line="240" w:lineRule="auto"/>
        <w:jc w:val="both"/>
        <w:rPr>
          <w:rFonts w:asciiTheme="minorHAnsi" w:hAnsiTheme="minorHAnsi"/>
        </w:rPr>
      </w:pPr>
    </w:p>
    <w:p w:rsidR="00404E9E" w:rsidRPr="007A598F" w:rsidRDefault="00355D7B" w:rsidP="00E22AD5">
      <w:pPr>
        <w:pStyle w:val="ListParagraph"/>
        <w:numPr>
          <w:ilvl w:val="1"/>
          <w:numId w:val="2"/>
        </w:numPr>
        <w:jc w:val="both"/>
        <w:rPr>
          <w:rFonts w:asciiTheme="minorHAnsi" w:hAnsiTheme="minorHAnsi"/>
        </w:rPr>
      </w:pPr>
      <w:r>
        <w:rPr>
          <w:rFonts w:asciiTheme="minorHAnsi" w:hAnsiTheme="minorHAnsi"/>
        </w:rPr>
        <w:t xml:space="preserve">Nova </w:t>
      </w:r>
      <w:r w:rsidR="00404E9E" w:rsidRPr="007A598F">
        <w:rPr>
          <w:rFonts w:asciiTheme="minorHAnsi" w:hAnsiTheme="minorHAnsi"/>
        </w:rPr>
        <w:t>platforma</w:t>
      </w:r>
      <w:r>
        <w:rPr>
          <w:rFonts w:asciiTheme="minorHAnsi" w:hAnsiTheme="minorHAnsi"/>
        </w:rPr>
        <w:t xml:space="preserve"> za igre</w:t>
      </w:r>
    </w:p>
    <w:p w:rsidR="00404E9E" w:rsidRPr="007A598F" w:rsidRDefault="00404E9E" w:rsidP="00AA11A1">
      <w:pPr>
        <w:jc w:val="both"/>
        <w:rPr>
          <w:rFonts w:asciiTheme="minorHAnsi" w:hAnsiTheme="minorHAnsi"/>
        </w:rPr>
      </w:pPr>
      <w:r w:rsidRPr="007A598F">
        <w:rPr>
          <w:rFonts w:asciiTheme="minorHAnsi" w:hAnsiTheme="minorHAnsi"/>
        </w:rPr>
        <w:t>Inicijativa p</w:t>
      </w:r>
      <w:r w:rsidR="00355D7B">
        <w:rPr>
          <w:rFonts w:asciiTheme="minorHAnsi" w:hAnsiTheme="minorHAnsi"/>
        </w:rPr>
        <w:t>redviđa unaprjeđenje postojeće</w:t>
      </w:r>
      <w:r w:rsidRPr="007A598F">
        <w:rPr>
          <w:rFonts w:asciiTheme="minorHAnsi" w:hAnsiTheme="minorHAnsi"/>
        </w:rPr>
        <w:t xml:space="preserve"> platforme </w:t>
      </w:r>
      <w:r w:rsidR="00355D7B">
        <w:rPr>
          <w:rFonts w:asciiTheme="minorHAnsi" w:hAnsiTheme="minorHAnsi"/>
        </w:rPr>
        <w:t xml:space="preserve">za igre </w:t>
      </w:r>
      <w:r w:rsidRPr="007A598F">
        <w:rPr>
          <w:rFonts w:asciiTheme="minorHAnsi" w:hAnsiTheme="minorHAnsi"/>
        </w:rPr>
        <w:t xml:space="preserve">na osnovu </w:t>
      </w:r>
      <w:r w:rsidR="00C37135">
        <w:rPr>
          <w:rFonts w:asciiTheme="minorHAnsi" w:hAnsiTheme="minorHAnsi"/>
        </w:rPr>
        <w:t>modela podjele ulaganja, odgovornosti, rizika i dobiti (</w:t>
      </w:r>
      <w:r w:rsidRPr="007A598F">
        <w:rPr>
          <w:rFonts w:asciiTheme="minorHAnsi" w:hAnsiTheme="minorHAnsi"/>
        </w:rPr>
        <w:t>revenue share princip</w:t>
      </w:r>
      <w:r w:rsidR="00C37135">
        <w:rPr>
          <w:rFonts w:asciiTheme="minorHAnsi" w:hAnsiTheme="minorHAnsi"/>
        </w:rPr>
        <w:t>)</w:t>
      </w:r>
      <w:r w:rsidRPr="007A598F">
        <w:rPr>
          <w:rFonts w:asciiTheme="minorHAnsi" w:hAnsiTheme="minorHAnsi"/>
        </w:rPr>
        <w:t xml:space="preserve"> s odabranim partnerom</w:t>
      </w:r>
      <w:r w:rsidR="00132D30">
        <w:rPr>
          <w:rFonts w:asciiTheme="minorHAnsi" w:hAnsiTheme="minorHAnsi"/>
        </w:rPr>
        <w:t xml:space="preserve"> (INTRALOT)</w:t>
      </w:r>
      <w:r w:rsidRPr="007A598F">
        <w:rPr>
          <w:rFonts w:asciiTheme="minorHAnsi" w:hAnsiTheme="minorHAnsi"/>
        </w:rPr>
        <w:t>.</w:t>
      </w:r>
    </w:p>
    <w:p w:rsidR="00404E9E" w:rsidRPr="007A598F" w:rsidRDefault="00355D7B" w:rsidP="00AA11A1">
      <w:pPr>
        <w:jc w:val="both"/>
        <w:rPr>
          <w:rFonts w:asciiTheme="minorHAnsi" w:hAnsiTheme="minorHAnsi"/>
        </w:rPr>
      </w:pPr>
      <w:r>
        <w:rPr>
          <w:rFonts w:asciiTheme="minorHAnsi" w:hAnsiTheme="minorHAnsi"/>
        </w:rPr>
        <w:t>Cilj uvođenja nove</w:t>
      </w:r>
      <w:r w:rsidR="00404E9E" w:rsidRPr="007A598F">
        <w:rPr>
          <w:rFonts w:asciiTheme="minorHAnsi" w:hAnsiTheme="minorHAnsi"/>
        </w:rPr>
        <w:t xml:space="preserve"> platforme </w:t>
      </w:r>
      <w:r>
        <w:rPr>
          <w:rFonts w:asciiTheme="minorHAnsi" w:hAnsiTheme="minorHAnsi"/>
        </w:rPr>
        <w:t xml:space="preserve">za igre </w:t>
      </w:r>
      <w:r w:rsidR="00404E9E" w:rsidRPr="007A598F">
        <w:rPr>
          <w:rFonts w:asciiTheme="minorHAnsi" w:hAnsiTheme="minorHAnsi"/>
        </w:rPr>
        <w:t>je modernizacija i digitalizacija rješen</w:t>
      </w:r>
      <w:r>
        <w:rPr>
          <w:rFonts w:asciiTheme="minorHAnsi" w:hAnsiTheme="minorHAnsi"/>
        </w:rPr>
        <w:t>ja Hrvatske Lutrije</w:t>
      </w:r>
      <w:r w:rsidR="00404E9E" w:rsidRPr="007A598F">
        <w:rPr>
          <w:rFonts w:asciiTheme="minorHAnsi" w:hAnsiTheme="minorHAnsi"/>
        </w:rPr>
        <w:t xml:space="preserve"> i zamjena starih koja više ne </w:t>
      </w:r>
      <w:r>
        <w:rPr>
          <w:rFonts w:asciiTheme="minorHAnsi" w:hAnsiTheme="minorHAnsi"/>
        </w:rPr>
        <w:t>odgovaraju potrebama igrača i Hrvatske Lutrije</w:t>
      </w:r>
      <w:r w:rsidR="00404E9E" w:rsidRPr="007A598F">
        <w:rPr>
          <w:rFonts w:asciiTheme="minorHAnsi" w:hAnsiTheme="minorHAnsi"/>
        </w:rPr>
        <w:t xml:space="preserve"> po per</w:t>
      </w:r>
      <w:r w:rsidR="00286E66">
        <w:rPr>
          <w:rFonts w:asciiTheme="minorHAnsi" w:hAnsiTheme="minorHAnsi"/>
        </w:rPr>
        <w:t>formansama i funkcionalnostima.</w:t>
      </w:r>
    </w:p>
    <w:p w:rsidR="00404E9E" w:rsidRPr="007A598F" w:rsidRDefault="00404E9E" w:rsidP="00AA11A1">
      <w:pPr>
        <w:jc w:val="both"/>
        <w:rPr>
          <w:rFonts w:asciiTheme="minorHAnsi" w:hAnsiTheme="minorHAnsi"/>
        </w:rPr>
      </w:pPr>
      <w:r w:rsidRPr="007A598F">
        <w:rPr>
          <w:rFonts w:asciiTheme="minorHAnsi" w:hAnsiTheme="minorHAnsi"/>
        </w:rPr>
        <w:t>Postojeće rješenje za sustav igara je dijelom kupljeno a dijelom razvijeno interno – ova se kombinacija ne razvija dovoljno brzo uslijed sve veće važnosti tehnologije u industriji igara. Ovaj problem je potenciran tehnološkom zastarjelošću postojećeg e-novčanika i nedostatkom programe</w:t>
      </w:r>
      <w:r w:rsidR="00355D7B">
        <w:rPr>
          <w:rFonts w:asciiTheme="minorHAnsi" w:hAnsiTheme="minorHAnsi"/>
        </w:rPr>
        <w:t>ra na tržištu te nemogućnosti Hrvatske Lutrije</w:t>
      </w:r>
      <w:r w:rsidRPr="007A598F">
        <w:rPr>
          <w:rFonts w:asciiTheme="minorHAnsi" w:hAnsiTheme="minorHAnsi"/>
        </w:rPr>
        <w:t xml:space="preserve"> </w:t>
      </w:r>
      <w:r w:rsidR="00BC4E04">
        <w:rPr>
          <w:rFonts w:asciiTheme="minorHAnsi" w:hAnsiTheme="minorHAnsi"/>
        </w:rPr>
        <w:t xml:space="preserve">da </w:t>
      </w:r>
      <w:r w:rsidRPr="007A598F">
        <w:rPr>
          <w:rFonts w:asciiTheme="minorHAnsi" w:hAnsiTheme="minorHAnsi"/>
        </w:rPr>
        <w:t xml:space="preserve">ih zaposli. Time je zaostatak za konkurencijom sve veći, jer tržište traži sve brže i frekventnije igre i usluge koje je bez snažnog sustava igara teško priređivati. </w:t>
      </w:r>
    </w:p>
    <w:p w:rsidR="00404E9E" w:rsidRDefault="00911F0E" w:rsidP="00AA11A1">
      <w:pPr>
        <w:jc w:val="both"/>
        <w:rPr>
          <w:rFonts w:asciiTheme="minorHAnsi" w:hAnsiTheme="minorHAnsi"/>
        </w:rPr>
      </w:pPr>
      <w:r>
        <w:rPr>
          <w:rFonts w:asciiTheme="minorHAnsi" w:hAnsiTheme="minorHAnsi"/>
        </w:rPr>
        <w:t>Suradnjom sa reno</w:t>
      </w:r>
      <w:r w:rsidR="00355D7B">
        <w:rPr>
          <w:rFonts w:asciiTheme="minorHAnsi" w:hAnsiTheme="minorHAnsi"/>
        </w:rPr>
        <w:t>miranim tehnološkim partnerom Hrvatska Lutrija</w:t>
      </w:r>
      <w:r>
        <w:rPr>
          <w:rFonts w:asciiTheme="minorHAnsi" w:hAnsiTheme="minorHAnsi"/>
        </w:rPr>
        <w:t xml:space="preserve"> želi ubrzati </w:t>
      </w:r>
      <w:r w:rsidR="00404E9E" w:rsidRPr="007A598F">
        <w:rPr>
          <w:rFonts w:asciiTheme="minorHAnsi" w:hAnsiTheme="minorHAnsi"/>
        </w:rPr>
        <w:t>proces</w:t>
      </w:r>
      <w:r>
        <w:rPr>
          <w:rFonts w:asciiTheme="minorHAnsi" w:hAnsiTheme="minorHAnsi"/>
        </w:rPr>
        <w:t>e</w:t>
      </w:r>
      <w:r w:rsidR="00404E9E" w:rsidRPr="007A598F">
        <w:rPr>
          <w:rFonts w:asciiTheme="minorHAnsi" w:hAnsiTheme="minorHAnsi"/>
        </w:rPr>
        <w:t xml:space="preserve"> razvoja novih igara i u</w:t>
      </w:r>
      <w:r>
        <w:rPr>
          <w:rFonts w:asciiTheme="minorHAnsi" w:hAnsiTheme="minorHAnsi"/>
        </w:rPr>
        <w:t xml:space="preserve">naprjeđenja postojećih igara, </w:t>
      </w:r>
      <w:r w:rsidR="00404E9E" w:rsidRPr="007A598F">
        <w:rPr>
          <w:rFonts w:asciiTheme="minorHAnsi" w:hAnsiTheme="minorHAnsi"/>
        </w:rPr>
        <w:t xml:space="preserve">što je bitan preduvjet za realizaciju prihoda na tržištu. </w:t>
      </w:r>
    </w:p>
    <w:p w:rsidR="00911F0E" w:rsidRPr="007A598F" w:rsidRDefault="00911F0E" w:rsidP="00AA11A1">
      <w:pPr>
        <w:jc w:val="both"/>
        <w:rPr>
          <w:rFonts w:asciiTheme="minorHAnsi" w:hAnsiTheme="minorHAnsi"/>
        </w:rPr>
      </w:pPr>
    </w:p>
    <w:p w:rsidR="00404E9E" w:rsidRPr="007A598F" w:rsidRDefault="00404E9E" w:rsidP="00E22AD5">
      <w:pPr>
        <w:pStyle w:val="ListParagraph"/>
        <w:numPr>
          <w:ilvl w:val="1"/>
          <w:numId w:val="2"/>
        </w:numPr>
        <w:jc w:val="both"/>
        <w:rPr>
          <w:rFonts w:asciiTheme="minorHAnsi" w:hAnsiTheme="minorHAnsi"/>
        </w:rPr>
      </w:pPr>
      <w:r w:rsidRPr="007A598F">
        <w:rPr>
          <w:rFonts w:asciiTheme="minorHAnsi" w:hAnsiTheme="minorHAnsi"/>
        </w:rPr>
        <w:t>Tehnološki backbone (okosnica)</w:t>
      </w:r>
    </w:p>
    <w:p w:rsidR="00404E9E" w:rsidRPr="007A598F" w:rsidRDefault="00404E9E" w:rsidP="00AA11A1">
      <w:pPr>
        <w:jc w:val="both"/>
        <w:rPr>
          <w:rFonts w:asciiTheme="minorHAnsi" w:hAnsiTheme="minorHAnsi"/>
        </w:rPr>
      </w:pPr>
      <w:r w:rsidRPr="007A598F">
        <w:rPr>
          <w:rFonts w:asciiTheme="minorHAnsi" w:hAnsiTheme="minorHAnsi"/>
        </w:rPr>
        <w:lastRenderedPageBreak/>
        <w:t>Cilj inicijative je unaprjeđenje postojećih tehnoloških rješenja modernijima (horizontalno i vertikalno skalabilnima) te kontinuirana prilagodba prema zahtjevima nositelja procesa.</w:t>
      </w:r>
    </w:p>
    <w:p w:rsidR="00404E9E" w:rsidRPr="007A598F" w:rsidRDefault="00404E9E" w:rsidP="00AA11A1">
      <w:pPr>
        <w:jc w:val="both"/>
        <w:rPr>
          <w:rFonts w:asciiTheme="minorHAnsi" w:hAnsiTheme="minorHAnsi"/>
        </w:rPr>
      </w:pPr>
      <w:r w:rsidRPr="007A598F">
        <w:rPr>
          <w:rFonts w:asciiTheme="minorHAnsi" w:hAnsiTheme="minorHAnsi"/>
        </w:rPr>
        <w:t>Napredni procesi prodaje digitalnog proizvoda zahtijevaju:</w:t>
      </w:r>
    </w:p>
    <w:p w:rsidR="00404E9E" w:rsidRPr="007A598F" w:rsidRDefault="00404E9E" w:rsidP="00B47E3F">
      <w:pPr>
        <w:numPr>
          <w:ilvl w:val="0"/>
          <w:numId w:val="4"/>
        </w:numPr>
        <w:tabs>
          <w:tab w:val="num" w:pos="720"/>
        </w:tabs>
        <w:spacing w:after="0" w:line="240" w:lineRule="auto"/>
        <w:jc w:val="both"/>
        <w:rPr>
          <w:rFonts w:asciiTheme="minorHAnsi" w:hAnsiTheme="minorHAnsi"/>
        </w:rPr>
      </w:pPr>
      <w:r w:rsidRPr="007A598F">
        <w:rPr>
          <w:rFonts w:asciiTheme="minorHAnsi" w:hAnsiTheme="minorHAnsi"/>
        </w:rPr>
        <w:t>praćenje korisnika od trenutka anonimnog posjetitelja web stranice i/ili prodajnog mjesta do registriranog korisnika s igračkim navikama,</w:t>
      </w:r>
    </w:p>
    <w:p w:rsidR="00404E9E" w:rsidRPr="007A598F" w:rsidRDefault="00404E9E" w:rsidP="00B47E3F">
      <w:pPr>
        <w:numPr>
          <w:ilvl w:val="0"/>
          <w:numId w:val="4"/>
        </w:numPr>
        <w:tabs>
          <w:tab w:val="num" w:pos="720"/>
        </w:tabs>
        <w:spacing w:after="0" w:line="240" w:lineRule="auto"/>
        <w:jc w:val="both"/>
        <w:rPr>
          <w:rFonts w:asciiTheme="minorHAnsi" w:hAnsiTheme="minorHAnsi"/>
        </w:rPr>
      </w:pPr>
      <w:r w:rsidRPr="007A598F">
        <w:rPr>
          <w:rFonts w:asciiTheme="minorHAnsi" w:hAnsiTheme="minorHAnsi"/>
        </w:rPr>
        <w:t>segmentiranje korisnika uz prikaz prilagođenog sadržaja i praćenja promjena u ponašanju,</w:t>
      </w:r>
    </w:p>
    <w:p w:rsidR="00404E9E" w:rsidRPr="007A598F" w:rsidRDefault="00404E9E" w:rsidP="00B47E3F">
      <w:pPr>
        <w:numPr>
          <w:ilvl w:val="0"/>
          <w:numId w:val="4"/>
        </w:numPr>
        <w:tabs>
          <w:tab w:val="num" w:pos="720"/>
        </w:tabs>
        <w:spacing w:after="0" w:line="240" w:lineRule="auto"/>
        <w:jc w:val="both"/>
        <w:rPr>
          <w:rFonts w:asciiTheme="minorHAnsi" w:hAnsiTheme="minorHAnsi"/>
        </w:rPr>
      </w:pPr>
      <w:r w:rsidRPr="007A598F">
        <w:rPr>
          <w:rFonts w:asciiTheme="minorHAnsi" w:hAnsiTheme="minorHAnsi"/>
        </w:rPr>
        <w:t>personalizirano kontaktiranje korisnika,</w:t>
      </w:r>
    </w:p>
    <w:p w:rsidR="00404E9E" w:rsidRPr="007A598F" w:rsidRDefault="00404E9E" w:rsidP="00B47E3F">
      <w:pPr>
        <w:numPr>
          <w:ilvl w:val="0"/>
          <w:numId w:val="4"/>
        </w:numPr>
        <w:tabs>
          <w:tab w:val="num" w:pos="720"/>
        </w:tabs>
        <w:spacing w:after="0" w:line="240" w:lineRule="auto"/>
        <w:jc w:val="both"/>
        <w:rPr>
          <w:rFonts w:asciiTheme="minorHAnsi" w:hAnsiTheme="minorHAnsi"/>
        </w:rPr>
      </w:pPr>
      <w:r w:rsidRPr="007A598F">
        <w:rPr>
          <w:rFonts w:asciiTheme="minorHAnsi" w:hAnsiTheme="minorHAnsi"/>
        </w:rPr>
        <w:t>istovjetnost izgleda proizvoda na svim digitalnim prodajnim vertikalama,</w:t>
      </w:r>
    </w:p>
    <w:p w:rsidR="00404E9E" w:rsidRPr="007A598F" w:rsidRDefault="00404E9E" w:rsidP="00B47E3F">
      <w:pPr>
        <w:numPr>
          <w:ilvl w:val="0"/>
          <w:numId w:val="4"/>
        </w:numPr>
        <w:tabs>
          <w:tab w:val="num" w:pos="720"/>
        </w:tabs>
        <w:spacing w:after="0" w:line="240" w:lineRule="auto"/>
        <w:jc w:val="both"/>
        <w:rPr>
          <w:rFonts w:asciiTheme="minorHAnsi" w:hAnsiTheme="minorHAnsi"/>
        </w:rPr>
      </w:pPr>
      <w:r w:rsidRPr="007A598F">
        <w:rPr>
          <w:rFonts w:asciiTheme="minorHAnsi" w:hAnsiTheme="minorHAnsi"/>
        </w:rPr>
        <w:t>analizu prodaje po raznim segmentima (igrač, kanal, sezonalnost, …), itd.</w:t>
      </w:r>
    </w:p>
    <w:p w:rsidR="00404E9E" w:rsidRPr="007A598F" w:rsidRDefault="00404E9E" w:rsidP="00AA11A1">
      <w:pPr>
        <w:jc w:val="both"/>
        <w:rPr>
          <w:rFonts w:asciiTheme="minorHAnsi" w:hAnsiTheme="minorHAnsi"/>
        </w:rPr>
      </w:pPr>
      <w:r w:rsidRPr="007A598F">
        <w:rPr>
          <w:rFonts w:asciiTheme="minorHAnsi" w:hAnsiTheme="minorHAnsi"/>
        </w:rPr>
        <w:t xml:space="preserve">U tom smislu, ova inicijativa ima za cilj omogućiti učinkovito upravljanje proizvodima u digitalnom okruženju i preduvjet je za implementaciju procesa upravljanja igračima. </w:t>
      </w:r>
    </w:p>
    <w:p w:rsidR="00404E9E" w:rsidRPr="007A598F" w:rsidRDefault="00404E9E" w:rsidP="00404E9E">
      <w:pPr>
        <w:ind w:left="708"/>
        <w:jc w:val="both"/>
        <w:rPr>
          <w:rFonts w:asciiTheme="minorHAnsi" w:hAnsiTheme="minorHAnsi"/>
        </w:rPr>
      </w:pPr>
    </w:p>
    <w:p w:rsidR="00404E9E" w:rsidRPr="006B4D69" w:rsidRDefault="00404E9E" w:rsidP="006B4D69">
      <w:pPr>
        <w:pStyle w:val="ListParagraph"/>
        <w:numPr>
          <w:ilvl w:val="0"/>
          <w:numId w:val="35"/>
        </w:numPr>
        <w:spacing w:after="0" w:line="240" w:lineRule="auto"/>
        <w:jc w:val="both"/>
        <w:rPr>
          <w:rFonts w:asciiTheme="minorHAnsi" w:hAnsiTheme="minorHAnsi"/>
        </w:rPr>
      </w:pPr>
      <w:r w:rsidRPr="006B4D69">
        <w:rPr>
          <w:rFonts w:asciiTheme="minorHAnsi" w:hAnsiTheme="minorHAnsi"/>
          <w:b/>
          <w:bCs/>
        </w:rPr>
        <w:t>Primjena CRM i BI alata i procesa za akviziciju, segmentaciju i retenciju igrača</w:t>
      </w:r>
      <w:r w:rsidRPr="006B4D69">
        <w:rPr>
          <w:rFonts w:asciiTheme="minorHAnsi" w:hAnsiTheme="minorHAnsi"/>
        </w:rPr>
        <w:t>, što uključuje povezane inicijative:</w:t>
      </w:r>
    </w:p>
    <w:p w:rsidR="00404E9E" w:rsidRPr="007A598F" w:rsidRDefault="00404E9E" w:rsidP="00B47E3F">
      <w:pPr>
        <w:numPr>
          <w:ilvl w:val="0"/>
          <w:numId w:val="3"/>
        </w:numPr>
        <w:tabs>
          <w:tab w:val="num" w:pos="720"/>
        </w:tabs>
        <w:spacing w:after="0" w:line="240" w:lineRule="auto"/>
        <w:jc w:val="both"/>
        <w:rPr>
          <w:rFonts w:asciiTheme="minorHAnsi" w:hAnsiTheme="minorHAnsi"/>
        </w:rPr>
      </w:pPr>
      <w:r w:rsidRPr="007A598F">
        <w:rPr>
          <w:rFonts w:asciiTheme="minorHAnsi" w:hAnsiTheme="minorHAnsi"/>
        </w:rPr>
        <w:t>primjena CRM / BI alata i procesa – ONLINE,</w:t>
      </w:r>
    </w:p>
    <w:p w:rsidR="00404E9E" w:rsidRPr="007A598F" w:rsidRDefault="00404E9E" w:rsidP="00B47E3F">
      <w:pPr>
        <w:numPr>
          <w:ilvl w:val="0"/>
          <w:numId w:val="3"/>
        </w:numPr>
        <w:tabs>
          <w:tab w:val="num" w:pos="720"/>
        </w:tabs>
        <w:spacing w:after="0" w:line="240" w:lineRule="auto"/>
        <w:jc w:val="both"/>
        <w:rPr>
          <w:rFonts w:asciiTheme="minorHAnsi" w:hAnsiTheme="minorHAnsi"/>
        </w:rPr>
      </w:pPr>
      <w:r w:rsidRPr="007A598F">
        <w:rPr>
          <w:rFonts w:asciiTheme="minorHAnsi" w:hAnsiTheme="minorHAnsi"/>
        </w:rPr>
        <w:t>primjena CRM / BI alata i procesa – RETAIL.</w:t>
      </w:r>
    </w:p>
    <w:p w:rsidR="003B7531" w:rsidRPr="007A598F" w:rsidRDefault="00404E9E" w:rsidP="00AA11A1">
      <w:pPr>
        <w:jc w:val="both"/>
        <w:rPr>
          <w:rFonts w:asciiTheme="minorHAnsi" w:hAnsiTheme="minorHAnsi"/>
        </w:rPr>
      </w:pPr>
      <w:r w:rsidRPr="007A598F">
        <w:rPr>
          <w:rFonts w:asciiTheme="minorHAnsi" w:hAnsiTheme="minorHAnsi"/>
        </w:rPr>
        <w:t>Inicijativa „Upravljanje igračima, CRM/BI alati i procesi - primjena”, ima za cilj uspostaviti dugoročni personalizirani odnos s igračima koji će ih potaknuti na veći angažman tijekom cijelog životnog ciklusa igrača – neovisno o kanalu prodaje – OMNICHANNEL</w:t>
      </w:r>
      <w:r w:rsidR="00380725" w:rsidRPr="007A598F">
        <w:rPr>
          <w:rFonts w:asciiTheme="minorHAnsi" w:hAnsiTheme="minorHAnsi"/>
        </w:rPr>
        <w:t>.</w:t>
      </w:r>
    </w:p>
    <w:p w:rsidR="00404E9E" w:rsidRPr="007A598F" w:rsidRDefault="00404E9E" w:rsidP="00AA11A1">
      <w:pPr>
        <w:jc w:val="both"/>
        <w:rPr>
          <w:rFonts w:asciiTheme="minorHAnsi" w:hAnsiTheme="minorHAnsi"/>
        </w:rPr>
      </w:pPr>
      <w:r w:rsidRPr="007A598F">
        <w:rPr>
          <w:rFonts w:asciiTheme="minorHAnsi" w:hAnsiTheme="minorHAnsi"/>
        </w:rPr>
        <w:t xml:space="preserve">Za ostvarivanje tog cilja nužno je, kao temelj, osigurati detaljan </w:t>
      </w:r>
      <w:r w:rsidR="00B3315D" w:rsidRPr="007A598F">
        <w:rPr>
          <w:rFonts w:asciiTheme="minorHAnsi" w:hAnsiTheme="minorHAnsi"/>
        </w:rPr>
        <w:t xml:space="preserve">jedinstven uvid </w:t>
      </w:r>
      <w:r w:rsidRPr="007A598F">
        <w:rPr>
          <w:rFonts w:asciiTheme="minorHAnsi" w:hAnsiTheme="minorHAnsi"/>
        </w:rPr>
        <w:t>u navike i očekivanja svakog pojedinog igrača te pratiti njegov životni ciklus kroz sve platforme (Nova platforma i tehnološki backbone)</w:t>
      </w:r>
      <w:r w:rsidR="00380725" w:rsidRPr="007A598F">
        <w:rPr>
          <w:rFonts w:asciiTheme="minorHAnsi" w:hAnsiTheme="minorHAnsi"/>
        </w:rPr>
        <w:t>.</w:t>
      </w:r>
    </w:p>
    <w:p w:rsidR="00404E9E" w:rsidRPr="007A598F" w:rsidRDefault="00404E9E" w:rsidP="00E22AD5">
      <w:pPr>
        <w:pStyle w:val="Heading1"/>
        <w:numPr>
          <w:ilvl w:val="2"/>
          <w:numId w:val="1"/>
        </w:numPr>
        <w:jc w:val="both"/>
        <w:rPr>
          <w:rFonts w:ascii="Calibri" w:hAnsi="Calibri" w:cs="Calibri"/>
          <w:sz w:val="28"/>
          <w:szCs w:val="28"/>
        </w:rPr>
      </w:pPr>
      <w:bookmarkStart w:id="10" w:name="_Toc532299614"/>
      <w:r w:rsidRPr="007A598F">
        <w:rPr>
          <w:rFonts w:ascii="Calibri" w:hAnsi="Calibri" w:cs="Calibri"/>
          <w:sz w:val="28"/>
          <w:szCs w:val="28"/>
        </w:rPr>
        <w:t>Modernizacija portfelja igara</w:t>
      </w:r>
      <w:bookmarkEnd w:id="10"/>
    </w:p>
    <w:p w:rsidR="00404E9E" w:rsidRDefault="00404E9E" w:rsidP="00404E9E">
      <w:pPr>
        <w:jc w:val="both"/>
        <w:rPr>
          <w:rFonts w:asciiTheme="minorHAnsi" w:hAnsiTheme="minorHAnsi"/>
        </w:rPr>
      </w:pPr>
      <w:r w:rsidRPr="007A598F">
        <w:rPr>
          <w:rFonts w:asciiTheme="minorHAnsi" w:hAnsiTheme="minorHAnsi"/>
        </w:rPr>
        <w:t xml:space="preserve">Ova inicijativa ima fokus na upravljanje </w:t>
      </w:r>
      <w:r w:rsidR="00092BB7" w:rsidRPr="007A598F">
        <w:rPr>
          <w:rFonts w:asciiTheme="minorHAnsi" w:hAnsiTheme="minorHAnsi"/>
        </w:rPr>
        <w:t>portfeljem</w:t>
      </w:r>
      <w:r w:rsidRPr="007A598F">
        <w:rPr>
          <w:rFonts w:asciiTheme="minorHAnsi" w:hAnsiTheme="minorHAnsi"/>
        </w:rPr>
        <w:t xml:space="preserve"> svih igara (netržišni segment – igre izvlačenja, srećke te tržišni segment – prije svega vezan uz igre klađenja).</w:t>
      </w:r>
    </w:p>
    <w:p w:rsidR="00404E9E" w:rsidRPr="007A598F" w:rsidRDefault="00404E9E" w:rsidP="00E22AD5">
      <w:pPr>
        <w:pStyle w:val="ListParagraph"/>
        <w:numPr>
          <w:ilvl w:val="0"/>
          <w:numId w:val="2"/>
        </w:numPr>
        <w:jc w:val="both"/>
        <w:rPr>
          <w:rFonts w:asciiTheme="minorHAnsi" w:hAnsiTheme="minorHAnsi"/>
          <w:b/>
        </w:rPr>
      </w:pPr>
      <w:r w:rsidRPr="007A598F">
        <w:rPr>
          <w:rFonts w:asciiTheme="minorHAnsi" w:hAnsiTheme="minorHAnsi"/>
          <w:b/>
        </w:rPr>
        <w:t xml:space="preserve">Igre izvlačenja </w:t>
      </w:r>
    </w:p>
    <w:p w:rsidR="00404E9E" w:rsidRPr="007A598F" w:rsidRDefault="00404E9E" w:rsidP="00404E9E">
      <w:pPr>
        <w:jc w:val="both"/>
        <w:rPr>
          <w:rFonts w:asciiTheme="minorHAnsi" w:hAnsiTheme="minorHAnsi"/>
        </w:rPr>
      </w:pPr>
      <w:r w:rsidRPr="007A598F">
        <w:rPr>
          <w:rFonts w:asciiTheme="minorHAnsi" w:hAnsiTheme="minorHAnsi"/>
        </w:rPr>
        <w:t>Cilj inicijative je promjena modela i radnih procesa koji trebaju dovesti do:</w:t>
      </w:r>
    </w:p>
    <w:p w:rsidR="00404E9E" w:rsidRPr="007A598F" w:rsidRDefault="00404E9E" w:rsidP="00B47E3F">
      <w:pPr>
        <w:numPr>
          <w:ilvl w:val="0"/>
          <w:numId w:val="5"/>
        </w:numPr>
        <w:spacing w:after="0" w:line="240" w:lineRule="auto"/>
        <w:jc w:val="both"/>
        <w:rPr>
          <w:rFonts w:asciiTheme="minorHAnsi" w:hAnsiTheme="minorHAnsi"/>
        </w:rPr>
      </w:pPr>
      <w:r w:rsidRPr="007A598F">
        <w:rPr>
          <w:rFonts w:asciiTheme="minorHAnsi" w:hAnsiTheme="minorHAnsi"/>
          <w:bCs/>
        </w:rPr>
        <w:t xml:space="preserve">prilagodbe portfelja igara </w:t>
      </w:r>
      <w:r w:rsidRPr="007A598F">
        <w:rPr>
          <w:rFonts w:asciiTheme="minorHAnsi" w:hAnsiTheme="minorHAnsi"/>
        </w:rPr>
        <w:t>(repozicioniranja igara, nove igre) – veća širina ponude, kao i brže i jednostavnije uključenje u igru</w:t>
      </w:r>
    </w:p>
    <w:p w:rsidR="00404E9E" w:rsidRPr="007A598F" w:rsidRDefault="00404E9E" w:rsidP="00B47E3F">
      <w:pPr>
        <w:numPr>
          <w:ilvl w:val="0"/>
          <w:numId w:val="5"/>
        </w:numPr>
        <w:spacing w:after="0" w:line="240" w:lineRule="auto"/>
        <w:jc w:val="both"/>
        <w:rPr>
          <w:rFonts w:asciiTheme="minorHAnsi" w:hAnsiTheme="minorHAnsi"/>
        </w:rPr>
      </w:pPr>
      <w:r w:rsidRPr="007A598F">
        <w:rPr>
          <w:rFonts w:asciiTheme="minorHAnsi" w:hAnsiTheme="minorHAnsi"/>
          <w:bCs/>
        </w:rPr>
        <w:t>povećanja baze igrača</w:t>
      </w:r>
      <w:r w:rsidRPr="007A598F">
        <w:rPr>
          <w:rFonts w:asciiTheme="minorHAnsi" w:hAnsiTheme="minorHAnsi"/>
        </w:rPr>
        <w:t xml:space="preserve">. </w:t>
      </w:r>
    </w:p>
    <w:p w:rsidR="00982489" w:rsidRPr="007A598F" w:rsidRDefault="00982489" w:rsidP="00404E9E">
      <w:pPr>
        <w:jc w:val="both"/>
        <w:rPr>
          <w:rFonts w:asciiTheme="minorHAnsi" w:hAnsiTheme="minorHAnsi"/>
        </w:rPr>
      </w:pPr>
    </w:p>
    <w:p w:rsidR="00404E9E" w:rsidRPr="007A598F" w:rsidRDefault="00404E9E" w:rsidP="00404E9E">
      <w:pPr>
        <w:jc w:val="both"/>
        <w:rPr>
          <w:rFonts w:asciiTheme="minorHAnsi" w:hAnsiTheme="minorHAnsi"/>
        </w:rPr>
      </w:pPr>
      <w:r w:rsidRPr="007A598F">
        <w:rPr>
          <w:rFonts w:asciiTheme="minorHAnsi" w:hAnsiTheme="minorHAnsi"/>
        </w:rPr>
        <w:t xml:space="preserve">Iz pozicije orijentiranosti na igru treba napraviti promjenu i orijentirati se na (ne)igrača (iz </w:t>
      </w:r>
      <w:r w:rsidRPr="007A598F">
        <w:rPr>
          <w:rFonts w:asciiTheme="minorHAnsi" w:hAnsiTheme="minorHAnsi"/>
          <w:i/>
          <w:iCs/>
        </w:rPr>
        <w:t xml:space="preserve">product oriented </w:t>
      </w:r>
      <w:r w:rsidRPr="007A598F">
        <w:rPr>
          <w:rFonts w:asciiTheme="minorHAnsi" w:hAnsiTheme="minorHAnsi"/>
        </w:rPr>
        <w:t xml:space="preserve">u </w:t>
      </w:r>
      <w:r w:rsidRPr="007A598F">
        <w:rPr>
          <w:rFonts w:asciiTheme="minorHAnsi" w:hAnsiTheme="minorHAnsi"/>
          <w:i/>
          <w:iCs/>
        </w:rPr>
        <w:t>player oriented</w:t>
      </w:r>
      <w:r w:rsidRPr="007A598F">
        <w:rPr>
          <w:rFonts w:asciiTheme="minorHAnsi" w:hAnsiTheme="minorHAnsi"/>
        </w:rPr>
        <w:t>). Potrebno je uvesti sustavno istraživanje tržišta i to u dva segmenta: igrača i neigrača, te sustavno bavljenje igračima (</w:t>
      </w:r>
      <w:r w:rsidRPr="007A598F">
        <w:rPr>
          <w:rFonts w:asciiTheme="minorHAnsi" w:hAnsiTheme="minorHAnsi"/>
          <w:i/>
          <w:iCs/>
        </w:rPr>
        <w:t>player management</w:t>
      </w:r>
      <w:r w:rsidRPr="007A598F">
        <w:rPr>
          <w:rFonts w:asciiTheme="minorHAnsi" w:hAnsiTheme="minorHAnsi"/>
        </w:rPr>
        <w:t>).</w:t>
      </w:r>
    </w:p>
    <w:p w:rsidR="00404E9E" w:rsidRPr="007A598F" w:rsidRDefault="00404E9E" w:rsidP="00404E9E">
      <w:pPr>
        <w:jc w:val="both"/>
        <w:rPr>
          <w:rFonts w:asciiTheme="minorHAnsi" w:hAnsiTheme="minorHAnsi"/>
        </w:rPr>
      </w:pPr>
      <w:r w:rsidRPr="007A598F">
        <w:rPr>
          <w:rFonts w:asciiTheme="minorHAnsi" w:hAnsiTheme="minorHAnsi"/>
        </w:rPr>
        <w:t xml:space="preserve">Igre je potrebno prilagoditi hrvatskom tržištu (broj stanovnika, kupovna moć) i segmentirati sukladno cjenovnom razredu, iznosima jackpota, frekvencijama izvlačenja i frekvencijama </w:t>
      </w:r>
      <w:r w:rsidRPr="007A598F">
        <w:rPr>
          <w:rFonts w:asciiTheme="minorHAnsi" w:hAnsiTheme="minorHAnsi"/>
        </w:rPr>
        <w:lastRenderedPageBreak/>
        <w:t xml:space="preserve">ostvarivanja jackpota i nižih dobitaka. Trend svjetskog tržišta je brži protok/okretaj novca i to je efekt koji želimo postići. </w:t>
      </w:r>
    </w:p>
    <w:p w:rsidR="00404E9E" w:rsidRPr="007A598F" w:rsidRDefault="00404E9E" w:rsidP="00404E9E">
      <w:pPr>
        <w:jc w:val="both"/>
        <w:rPr>
          <w:rFonts w:asciiTheme="minorHAnsi" w:hAnsiTheme="minorHAnsi"/>
        </w:rPr>
      </w:pPr>
      <w:r w:rsidRPr="007A598F">
        <w:rPr>
          <w:rFonts w:asciiTheme="minorHAnsi" w:hAnsiTheme="minorHAnsi"/>
        </w:rPr>
        <w:t>Prodajno-marketinške aktivnosti će se osvježiti atraktivnim robnim dobicima, te paketnom prodajom igara.  Za igre kod kojih je predviđen jači redizajn ili gašenje bit će definirana izlazna strategija što uključuje pojačano pražnjenje akumulacija.</w:t>
      </w:r>
    </w:p>
    <w:p w:rsidR="00404E9E" w:rsidRPr="007A598F" w:rsidRDefault="00404E9E" w:rsidP="00404E9E">
      <w:pPr>
        <w:jc w:val="both"/>
        <w:rPr>
          <w:rFonts w:asciiTheme="minorHAnsi" w:hAnsiTheme="minorHAnsi"/>
        </w:rPr>
      </w:pPr>
      <w:r w:rsidRPr="007A598F">
        <w:rPr>
          <w:rFonts w:asciiTheme="minorHAnsi" w:hAnsiTheme="minorHAnsi"/>
        </w:rPr>
        <w:t>Edukacija prodavača je ključna za komunikaciju prema klijentima.</w:t>
      </w:r>
    </w:p>
    <w:p w:rsidR="00404E9E" w:rsidRPr="007A598F" w:rsidRDefault="00404E9E" w:rsidP="00404E9E">
      <w:pPr>
        <w:jc w:val="both"/>
        <w:rPr>
          <w:rFonts w:asciiTheme="minorHAnsi" w:hAnsiTheme="minorHAnsi"/>
        </w:rPr>
      </w:pPr>
      <w:r w:rsidRPr="007A598F">
        <w:rPr>
          <w:rFonts w:asciiTheme="minorHAnsi" w:hAnsiTheme="minorHAnsi"/>
        </w:rPr>
        <w:t xml:space="preserve">Marketinške aktivnosti </w:t>
      </w:r>
      <w:r w:rsidR="00286E66">
        <w:rPr>
          <w:rFonts w:asciiTheme="minorHAnsi" w:hAnsiTheme="minorHAnsi"/>
        </w:rPr>
        <w:t>se postupno</w:t>
      </w:r>
      <w:r w:rsidRPr="007A598F">
        <w:rPr>
          <w:rFonts w:asciiTheme="minorHAnsi" w:hAnsiTheme="minorHAnsi"/>
        </w:rPr>
        <w:t xml:space="preserve"> refokusir</w:t>
      </w:r>
      <w:r w:rsidR="00286E66">
        <w:rPr>
          <w:rFonts w:asciiTheme="minorHAnsi" w:hAnsiTheme="minorHAnsi"/>
        </w:rPr>
        <w:t>aju</w:t>
      </w:r>
      <w:r w:rsidRPr="007A598F">
        <w:rPr>
          <w:rFonts w:asciiTheme="minorHAnsi" w:hAnsiTheme="minorHAnsi"/>
        </w:rPr>
        <w:t xml:space="preserve"> s trenutno dominantnog televizijskog modela na druge kanale. </w:t>
      </w:r>
    </w:p>
    <w:p w:rsidR="00404E9E" w:rsidRPr="007A598F" w:rsidRDefault="00404E9E" w:rsidP="00E22AD5">
      <w:pPr>
        <w:pStyle w:val="ListParagraph"/>
        <w:numPr>
          <w:ilvl w:val="0"/>
          <w:numId w:val="2"/>
        </w:numPr>
        <w:jc w:val="both"/>
        <w:rPr>
          <w:rFonts w:asciiTheme="minorHAnsi" w:hAnsiTheme="minorHAnsi"/>
          <w:b/>
        </w:rPr>
      </w:pPr>
      <w:r w:rsidRPr="007A598F">
        <w:rPr>
          <w:rFonts w:asciiTheme="minorHAnsi" w:hAnsiTheme="minorHAnsi"/>
          <w:b/>
        </w:rPr>
        <w:t>Instant i prigodne lutrije</w:t>
      </w:r>
    </w:p>
    <w:p w:rsidR="00404E9E" w:rsidRPr="007A598F" w:rsidRDefault="00404E9E" w:rsidP="00404E9E">
      <w:pPr>
        <w:jc w:val="both"/>
        <w:rPr>
          <w:rFonts w:asciiTheme="minorHAnsi" w:hAnsiTheme="minorHAnsi"/>
        </w:rPr>
      </w:pPr>
      <w:r w:rsidRPr="007A598F">
        <w:rPr>
          <w:rFonts w:asciiTheme="minorHAnsi" w:hAnsiTheme="minorHAnsi"/>
        </w:rPr>
        <w:t xml:space="preserve">Kritična točka u segmentu poslovanja s instant i prigodnim srećkama je </w:t>
      </w:r>
      <w:r w:rsidRPr="007A598F">
        <w:rPr>
          <w:rFonts w:asciiTheme="minorHAnsi" w:hAnsiTheme="minorHAnsi"/>
          <w:bCs/>
        </w:rPr>
        <w:t xml:space="preserve">osigurati kontinuitet poslovanja </w:t>
      </w:r>
      <w:r w:rsidRPr="007A598F">
        <w:rPr>
          <w:rFonts w:asciiTheme="minorHAnsi" w:hAnsiTheme="minorHAnsi"/>
        </w:rPr>
        <w:t>u čemu je najveća prepreka proces odabira dobavljača (priprema i provođenje procesa javne nabave).</w:t>
      </w:r>
    </w:p>
    <w:p w:rsidR="00404E9E" w:rsidRPr="007A598F" w:rsidRDefault="00404E9E" w:rsidP="00404E9E">
      <w:pPr>
        <w:jc w:val="both"/>
        <w:rPr>
          <w:rFonts w:asciiTheme="minorHAnsi" w:hAnsiTheme="minorHAnsi"/>
        </w:rPr>
      </w:pPr>
      <w:r w:rsidRPr="007A598F">
        <w:rPr>
          <w:rFonts w:asciiTheme="minorHAnsi" w:hAnsiTheme="minorHAnsi"/>
        </w:rPr>
        <w:t xml:space="preserve">Uvođenjem </w:t>
      </w:r>
      <w:r w:rsidR="004D172F">
        <w:rPr>
          <w:rFonts w:asciiTheme="minorHAnsi" w:hAnsiTheme="minorHAnsi"/>
        </w:rPr>
        <w:t>produkt menadžera</w:t>
      </w:r>
      <w:r w:rsidRPr="007A598F">
        <w:rPr>
          <w:rFonts w:asciiTheme="minorHAnsi" w:hAnsiTheme="minorHAnsi"/>
        </w:rPr>
        <w:t xml:space="preserve"> za srećke dobiva se osoba koja nadgleda i odgovara za cijeli proces.</w:t>
      </w:r>
    </w:p>
    <w:p w:rsidR="00404E9E" w:rsidRDefault="00404E9E" w:rsidP="00E22AD5">
      <w:pPr>
        <w:pStyle w:val="ListParagraph"/>
        <w:numPr>
          <w:ilvl w:val="0"/>
          <w:numId w:val="2"/>
        </w:numPr>
        <w:spacing w:after="0" w:line="240" w:lineRule="auto"/>
        <w:jc w:val="both"/>
        <w:rPr>
          <w:rFonts w:asciiTheme="minorHAnsi" w:hAnsiTheme="minorHAnsi"/>
          <w:b/>
        </w:rPr>
      </w:pPr>
      <w:r w:rsidRPr="007A598F">
        <w:rPr>
          <w:rFonts w:asciiTheme="minorHAnsi" w:hAnsiTheme="minorHAnsi"/>
          <w:b/>
        </w:rPr>
        <w:t>Tržišni segment klađenja</w:t>
      </w:r>
    </w:p>
    <w:p w:rsidR="006B4D69" w:rsidRDefault="006B4D69" w:rsidP="006B4D69">
      <w:pPr>
        <w:pStyle w:val="ListParagraph"/>
        <w:spacing w:after="0" w:line="240" w:lineRule="auto"/>
        <w:jc w:val="both"/>
        <w:rPr>
          <w:rFonts w:asciiTheme="minorHAnsi" w:hAnsiTheme="minorHAnsi"/>
          <w:b/>
        </w:rPr>
      </w:pPr>
    </w:p>
    <w:p w:rsidR="004D172F" w:rsidRPr="004D172F" w:rsidRDefault="00271506" w:rsidP="004D172F">
      <w:pPr>
        <w:rPr>
          <w:rFonts w:asciiTheme="minorHAnsi" w:hAnsiTheme="minorHAnsi" w:cstheme="minorHAnsi"/>
        </w:rPr>
      </w:pPr>
      <w:r>
        <w:rPr>
          <w:rFonts w:asciiTheme="minorHAnsi" w:hAnsiTheme="minorHAnsi" w:cstheme="minorHAnsi"/>
        </w:rPr>
        <w:t>Inicijativa u segmentu igara klađenja uključuje primarno p</w:t>
      </w:r>
      <w:r w:rsidR="004D172F" w:rsidRPr="004D172F">
        <w:rPr>
          <w:rFonts w:asciiTheme="minorHAnsi" w:hAnsiTheme="minorHAnsi" w:cstheme="minorHAnsi"/>
        </w:rPr>
        <w:t>rodajno-marketinške aktivnosti i korištenje naprednih marketinških alata, napredno klađenje uživo, napredne nove usluge i igre.</w:t>
      </w:r>
    </w:p>
    <w:p w:rsidR="004D172F" w:rsidRPr="004D172F" w:rsidRDefault="004D172F" w:rsidP="004D172F">
      <w:pPr>
        <w:spacing w:after="0" w:line="240" w:lineRule="auto"/>
        <w:jc w:val="both"/>
        <w:rPr>
          <w:rFonts w:asciiTheme="minorHAnsi" w:hAnsiTheme="minorHAnsi"/>
          <w:b/>
        </w:rPr>
      </w:pPr>
    </w:p>
    <w:p w:rsidR="00FF0362" w:rsidRPr="007A598F" w:rsidRDefault="00FF0362" w:rsidP="00FF0362">
      <w:pPr>
        <w:pStyle w:val="ListParagraph"/>
        <w:spacing w:after="0" w:line="240" w:lineRule="auto"/>
        <w:jc w:val="both"/>
        <w:rPr>
          <w:rFonts w:asciiTheme="minorHAnsi" w:hAnsiTheme="minorHAnsi"/>
          <w:b/>
        </w:rPr>
      </w:pPr>
    </w:p>
    <w:p w:rsidR="00404E9E" w:rsidRPr="007A598F" w:rsidRDefault="00404E9E" w:rsidP="00E22AD5">
      <w:pPr>
        <w:pStyle w:val="Heading1"/>
        <w:numPr>
          <w:ilvl w:val="2"/>
          <w:numId w:val="1"/>
        </w:numPr>
        <w:jc w:val="both"/>
        <w:rPr>
          <w:rFonts w:ascii="Calibri" w:hAnsi="Calibri" w:cs="Calibri"/>
          <w:sz w:val="28"/>
          <w:szCs w:val="28"/>
        </w:rPr>
      </w:pPr>
      <w:bookmarkStart w:id="11" w:name="_Toc532299615"/>
      <w:r w:rsidRPr="007A598F">
        <w:rPr>
          <w:rFonts w:ascii="Calibri" w:hAnsi="Calibri" w:cs="Calibri"/>
          <w:sz w:val="28"/>
          <w:szCs w:val="28"/>
        </w:rPr>
        <w:t>Prodaja 2022</w:t>
      </w:r>
      <w:r w:rsidR="000A08C1">
        <w:rPr>
          <w:rFonts w:ascii="Calibri" w:hAnsi="Calibri" w:cs="Calibri"/>
          <w:sz w:val="28"/>
          <w:szCs w:val="28"/>
        </w:rPr>
        <w:t>.</w:t>
      </w:r>
      <w:bookmarkEnd w:id="11"/>
    </w:p>
    <w:p w:rsidR="00404E9E" w:rsidRPr="007A598F" w:rsidRDefault="00404E9E" w:rsidP="00404E9E">
      <w:pPr>
        <w:jc w:val="both"/>
        <w:rPr>
          <w:rFonts w:asciiTheme="minorHAnsi" w:hAnsiTheme="minorHAnsi"/>
        </w:rPr>
      </w:pPr>
      <w:r w:rsidRPr="007A598F">
        <w:rPr>
          <w:rFonts w:asciiTheme="minorHAnsi" w:hAnsiTheme="minorHAnsi"/>
        </w:rPr>
        <w:t xml:space="preserve">Odnosi se na </w:t>
      </w:r>
      <w:r w:rsidR="006B4D69">
        <w:rPr>
          <w:rFonts w:asciiTheme="minorHAnsi" w:hAnsiTheme="minorHAnsi"/>
        </w:rPr>
        <w:t>nekoliko glavnih</w:t>
      </w:r>
      <w:r w:rsidRPr="007A598F">
        <w:rPr>
          <w:rFonts w:asciiTheme="minorHAnsi" w:hAnsiTheme="minorHAnsi"/>
        </w:rPr>
        <w:t xml:space="preserve"> područja:</w:t>
      </w:r>
    </w:p>
    <w:p w:rsidR="00404E9E" w:rsidRPr="007A598F" w:rsidRDefault="00404E9E" w:rsidP="00E22AD5">
      <w:pPr>
        <w:pStyle w:val="ListParagraph"/>
        <w:numPr>
          <w:ilvl w:val="0"/>
          <w:numId w:val="2"/>
        </w:numPr>
        <w:jc w:val="both"/>
        <w:rPr>
          <w:rFonts w:asciiTheme="minorHAnsi" w:hAnsiTheme="minorHAnsi"/>
          <w:b/>
        </w:rPr>
      </w:pPr>
      <w:r w:rsidRPr="007A598F">
        <w:rPr>
          <w:rFonts w:asciiTheme="minorHAnsi" w:hAnsiTheme="minorHAnsi"/>
          <w:b/>
        </w:rPr>
        <w:t>Optimizacija formata i vizualnog identiteta prodajnog mjesta</w:t>
      </w:r>
    </w:p>
    <w:p w:rsidR="00404E9E" w:rsidRDefault="00404E9E" w:rsidP="00404E9E">
      <w:pPr>
        <w:jc w:val="both"/>
        <w:rPr>
          <w:rFonts w:asciiTheme="minorHAnsi" w:hAnsiTheme="minorHAnsi"/>
        </w:rPr>
      </w:pPr>
      <w:r w:rsidRPr="007A598F">
        <w:rPr>
          <w:rFonts w:asciiTheme="minorHAnsi" w:hAnsiTheme="minorHAnsi"/>
        </w:rPr>
        <w:t xml:space="preserve">Inicijativa podrazumijeva modernizaciju, redizajn i </w:t>
      </w:r>
      <w:r w:rsidR="00271506">
        <w:rPr>
          <w:rFonts w:asciiTheme="minorHAnsi" w:hAnsiTheme="minorHAnsi"/>
        </w:rPr>
        <w:t>brendiranje</w:t>
      </w:r>
      <w:r w:rsidRPr="007A598F">
        <w:rPr>
          <w:rFonts w:asciiTheme="minorHAnsi" w:hAnsiTheme="minorHAnsi"/>
        </w:rPr>
        <w:t xml:space="preserve"> prodajnih mjesta do 2022.</w:t>
      </w:r>
      <w:r w:rsidR="000A08C1">
        <w:rPr>
          <w:rFonts w:asciiTheme="minorHAnsi" w:hAnsiTheme="minorHAnsi"/>
        </w:rPr>
        <w:t xml:space="preserve"> godine.</w:t>
      </w:r>
      <w:r w:rsidRPr="007A598F">
        <w:rPr>
          <w:rFonts w:asciiTheme="minorHAnsi" w:hAnsiTheme="minorHAnsi"/>
        </w:rPr>
        <w:t xml:space="preserve"> Kroz ovu inicijativu potrebno je stvoriti karakteristike uređenja prodajnog mjesta zbog kojih bismo bili u prednosti u odnosu na konkurenciju. </w:t>
      </w:r>
    </w:p>
    <w:p w:rsidR="000359F1" w:rsidRPr="000359F1" w:rsidRDefault="000359F1" w:rsidP="000359F1">
      <w:pPr>
        <w:pStyle w:val="ListParagraph"/>
        <w:numPr>
          <w:ilvl w:val="0"/>
          <w:numId w:val="2"/>
        </w:numPr>
        <w:jc w:val="both"/>
        <w:rPr>
          <w:rFonts w:asciiTheme="minorHAnsi" w:hAnsiTheme="minorHAnsi"/>
          <w:b/>
        </w:rPr>
      </w:pPr>
      <w:r w:rsidRPr="000359F1">
        <w:rPr>
          <w:rFonts w:asciiTheme="minorHAnsi" w:hAnsiTheme="minorHAnsi"/>
          <w:b/>
        </w:rPr>
        <w:t xml:space="preserve">Upravljanje prodajnom mrežom </w:t>
      </w:r>
    </w:p>
    <w:p w:rsidR="000359F1" w:rsidRPr="000359F1" w:rsidRDefault="000359F1" w:rsidP="000359F1">
      <w:pPr>
        <w:jc w:val="both"/>
        <w:rPr>
          <w:rFonts w:asciiTheme="minorHAnsi" w:hAnsiTheme="minorHAnsi"/>
        </w:rPr>
      </w:pPr>
      <w:r>
        <w:rPr>
          <w:rFonts w:asciiTheme="minorHAnsi" w:hAnsiTheme="minorHAnsi"/>
        </w:rPr>
        <w:t>Unaprjeđenje profitabilnosti i upravljanja prodajnom mrežom kroz niz aktivnosti (postupna zamjena prodajnih mjesta niže marže, unaprjeđenje praćenja profitabilnosti)</w:t>
      </w:r>
    </w:p>
    <w:p w:rsidR="00404E9E" w:rsidRPr="007A598F" w:rsidRDefault="00404E9E" w:rsidP="00E22AD5">
      <w:pPr>
        <w:pStyle w:val="ListParagraph"/>
        <w:numPr>
          <w:ilvl w:val="0"/>
          <w:numId w:val="2"/>
        </w:numPr>
        <w:jc w:val="both"/>
        <w:rPr>
          <w:rFonts w:asciiTheme="minorHAnsi" w:hAnsiTheme="minorHAnsi"/>
          <w:b/>
        </w:rPr>
      </w:pPr>
      <w:r w:rsidRPr="007A598F">
        <w:rPr>
          <w:rFonts w:asciiTheme="minorHAnsi" w:hAnsiTheme="minorHAnsi"/>
          <w:b/>
        </w:rPr>
        <w:t>Poslovni modeli - strateška partnerstva, franšiza</w:t>
      </w:r>
    </w:p>
    <w:p w:rsidR="00404E9E" w:rsidRPr="007A598F" w:rsidRDefault="00404E9E" w:rsidP="00404E9E">
      <w:pPr>
        <w:jc w:val="both"/>
        <w:rPr>
          <w:rFonts w:asciiTheme="minorHAnsi" w:hAnsiTheme="minorHAnsi"/>
        </w:rPr>
      </w:pPr>
      <w:r w:rsidRPr="007A598F">
        <w:rPr>
          <w:rFonts w:asciiTheme="minorHAnsi" w:hAnsiTheme="minorHAnsi"/>
        </w:rPr>
        <w:t>Cilj je utvrditi mogućnosti uvođenja novih poslovnih modela u područjima</w:t>
      </w:r>
      <w:r w:rsidR="000875BB">
        <w:rPr>
          <w:rFonts w:asciiTheme="minorHAnsi" w:hAnsiTheme="minorHAnsi"/>
        </w:rPr>
        <w:t xml:space="preserve"> poslovanja gdje aktivnosti Hrvatske Lutrije</w:t>
      </w:r>
      <w:r w:rsidRPr="007A598F">
        <w:rPr>
          <w:rFonts w:asciiTheme="minorHAnsi" w:hAnsiTheme="minorHAnsi"/>
        </w:rPr>
        <w:t xml:space="preserve"> ne dostižu maksimalni potencijal i učinkovitost. Inicijativa je us</w:t>
      </w:r>
      <w:r w:rsidRPr="007A598F">
        <w:rPr>
          <w:rFonts w:asciiTheme="minorHAnsi" w:hAnsiTheme="minorHAnsi"/>
        </w:rPr>
        <w:lastRenderedPageBreak/>
        <w:t>mjerena na dva područja: strateška partnerstva i franši</w:t>
      </w:r>
      <w:r w:rsidR="004A6541">
        <w:rPr>
          <w:rFonts w:asciiTheme="minorHAnsi" w:hAnsiTheme="minorHAnsi"/>
        </w:rPr>
        <w:t>ze. Kao jedan od preduvjeta ostvarenja cilja je i uvođenje pozicija voditelja ključnih kupaca (osoba zaduženih za odnose sa ključnim kupcima/partnerima).</w:t>
      </w:r>
    </w:p>
    <w:p w:rsidR="00404E9E" w:rsidRPr="007A598F" w:rsidRDefault="00404E9E" w:rsidP="00E22AD5">
      <w:pPr>
        <w:pStyle w:val="ListParagraph"/>
        <w:numPr>
          <w:ilvl w:val="0"/>
          <w:numId w:val="2"/>
        </w:numPr>
        <w:jc w:val="both"/>
        <w:rPr>
          <w:rFonts w:asciiTheme="minorHAnsi" w:hAnsiTheme="minorHAnsi"/>
          <w:b/>
        </w:rPr>
      </w:pPr>
      <w:r w:rsidRPr="007A598F">
        <w:rPr>
          <w:rFonts w:asciiTheme="minorHAnsi" w:hAnsiTheme="minorHAnsi"/>
          <w:b/>
        </w:rPr>
        <w:t>Povećanje tržišnog udjela u segmentu automat klubova (AK) i casina</w:t>
      </w:r>
    </w:p>
    <w:p w:rsidR="00404E9E" w:rsidRPr="007A598F" w:rsidRDefault="004A6541" w:rsidP="00404E9E">
      <w:pPr>
        <w:jc w:val="both"/>
        <w:rPr>
          <w:rFonts w:asciiTheme="minorHAnsi" w:hAnsiTheme="minorHAnsi"/>
        </w:rPr>
      </w:pPr>
      <w:r>
        <w:rPr>
          <w:rFonts w:asciiTheme="minorHAnsi" w:hAnsiTheme="minorHAnsi"/>
          <w:bCs/>
        </w:rPr>
        <w:t>U periodu do 2022. godine c</w:t>
      </w:r>
      <w:r w:rsidR="00404E9E" w:rsidRPr="007A598F">
        <w:rPr>
          <w:rFonts w:asciiTheme="minorHAnsi" w:hAnsiTheme="minorHAnsi"/>
          <w:bCs/>
        </w:rPr>
        <w:t xml:space="preserve">ilj inicijative je vratiti </w:t>
      </w:r>
      <w:r>
        <w:rPr>
          <w:rFonts w:asciiTheme="minorHAnsi" w:hAnsiTheme="minorHAnsi"/>
          <w:bCs/>
        </w:rPr>
        <w:t xml:space="preserve">dio </w:t>
      </w:r>
      <w:r w:rsidR="00404E9E" w:rsidRPr="007A598F">
        <w:rPr>
          <w:rFonts w:asciiTheme="minorHAnsi" w:hAnsiTheme="minorHAnsi"/>
          <w:bCs/>
        </w:rPr>
        <w:t>tržišn</w:t>
      </w:r>
      <w:r>
        <w:rPr>
          <w:rFonts w:asciiTheme="minorHAnsi" w:hAnsiTheme="minorHAnsi"/>
          <w:bCs/>
        </w:rPr>
        <w:t>og</w:t>
      </w:r>
      <w:r w:rsidR="00EE08E5">
        <w:rPr>
          <w:rFonts w:asciiTheme="minorHAnsi" w:hAnsiTheme="minorHAnsi"/>
          <w:bCs/>
        </w:rPr>
        <w:t xml:space="preserve"> udjela, primarno kro</w:t>
      </w:r>
      <w:r>
        <w:rPr>
          <w:rFonts w:asciiTheme="minorHAnsi" w:hAnsiTheme="minorHAnsi"/>
          <w:bCs/>
        </w:rPr>
        <w:t>z organski rast jačanjem postojećih automat klubova i otvaranjem novih u prosjeku 2 godišnje (do kraja 2022.godine</w:t>
      </w:r>
      <w:r w:rsidR="00EE08E5">
        <w:rPr>
          <w:rFonts w:asciiTheme="minorHAnsi" w:hAnsiTheme="minorHAnsi"/>
          <w:bCs/>
        </w:rPr>
        <w:t xml:space="preserve"> planiramo imati ukupno 17 automat klubova).</w:t>
      </w:r>
      <w:r w:rsidR="00404E9E" w:rsidRPr="007A598F">
        <w:rPr>
          <w:rFonts w:asciiTheme="minorHAnsi" w:hAnsiTheme="minorHAnsi"/>
        </w:rPr>
        <w:t xml:space="preserve"> U </w:t>
      </w:r>
      <w:r w:rsidR="009F288C">
        <w:rPr>
          <w:rFonts w:asciiTheme="minorHAnsi" w:hAnsiTheme="minorHAnsi"/>
        </w:rPr>
        <w:t>2018. godini otvorena su</w:t>
      </w:r>
      <w:r w:rsidR="00EE08E5">
        <w:rPr>
          <w:rFonts w:asciiTheme="minorHAnsi" w:hAnsiTheme="minorHAnsi"/>
        </w:rPr>
        <w:t xml:space="preserve"> 2 nova automat kluba, a u 2019.godini planiramo otvoriti 4 nova </w:t>
      </w:r>
      <w:r w:rsidR="00EF0B32">
        <w:rPr>
          <w:rFonts w:asciiTheme="minorHAnsi" w:hAnsiTheme="minorHAnsi"/>
        </w:rPr>
        <w:t>automat klub</w:t>
      </w:r>
      <w:r w:rsidR="00016D07">
        <w:rPr>
          <w:rFonts w:asciiTheme="minorHAnsi" w:hAnsiTheme="minorHAnsi"/>
        </w:rPr>
        <w:t>a.</w:t>
      </w:r>
    </w:p>
    <w:p w:rsidR="00EE08E5" w:rsidRDefault="00EE08E5" w:rsidP="00404E9E">
      <w:pPr>
        <w:jc w:val="both"/>
        <w:rPr>
          <w:rFonts w:asciiTheme="minorHAnsi" w:hAnsiTheme="minorHAnsi"/>
        </w:rPr>
      </w:pPr>
      <w:r>
        <w:rPr>
          <w:rFonts w:asciiTheme="minorHAnsi" w:hAnsiTheme="minorHAnsi"/>
        </w:rPr>
        <w:t>U segmentu Casina u 2019</w:t>
      </w:r>
      <w:r w:rsidR="00404E9E" w:rsidRPr="007A598F">
        <w:rPr>
          <w:rFonts w:asciiTheme="minorHAnsi" w:hAnsiTheme="minorHAnsi"/>
        </w:rPr>
        <w:t xml:space="preserve">. </w:t>
      </w:r>
      <w:r w:rsidR="00B3315D">
        <w:rPr>
          <w:rFonts w:asciiTheme="minorHAnsi" w:hAnsiTheme="minorHAnsi"/>
        </w:rPr>
        <w:t xml:space="preserve">godini </w:t>
      </w:r>
      <w:r>
        <w:rPr>
          <w:rFonts w:asciiTheme="minorHAnsi" w:hAnsiTheme="minorHAnsi"/>
        </w:rPr>
        <w:t>postojeći casino preselit će se na novu lokaciju.</w:t>
      </w:r>
      <w:r w:rsidR="00404E9E" w:rsidRPr="007A598F">
        <w:rPr>
          <w:rFonts w:asciiTheme="minorHAnsi" w:hAnsiTheme="minorHAnsi"/>
        </w:rPr>
        <w:t xml:space="preserve"> </w:t>
      </w:r>
    </w:p>
    <w:p w:rsidR="00404E9E" w:rsidRDefault="00404E9E" w:rsidP="00404E9E">
      <w:pPr>
        <w:jc w:val="both"/>
        <w:rPr>
          <w:rFonts w:asciiTheme="minorHAnsi" w:hAnsiTheme="minorHAnsi"/>
        </w:rPr>
      </w:pPr>
      <w:r w:rsidRPr="007A598F">
        <w:rPr>
          <w:rFonts w:asciiTheme="minorHAnsi" w:hAnsiTheme="minorHAnsi"/>
        </w:rPr>
        <w:t xml:space="preserve">Za realizaciju ove </w:t>
      </w:r>
      <w:r w:rsidR="00092BB7" w:rsidRPr="007A598F">
        <w:rPr>
          <w:rFonts w:asciiTheme="minorHAnsi" w:hAnsiTheme="minorHAnsi"/>
        </w:rPr>
        <w:t>inicijative</w:t>
      </w:r>
      <w:r w:rsidRPr="007A598F">
        <w:rPr>
          <w:rFonts w:asciiTheme="minorHAnsi" w:hAnsiTheme="minorHAnsi"/>
        </w:rPr>
        <w:t xml:space="preserve"> potrebno je</w:t>
      </w:r>
      <w:r w:rsidR="00016D07">
        <w:rPr>
          <w:rFonts w:asciiTheme="minorHAnsi" w:hAnsiTheme="minorHAnsi"/>
        </w:rPr>
        <w:t>,</w:t>
      </w:r>
      <w:r w:rsidRPr="007A598F">
        <w:rPr>
          <w:rFonts w:asciiTheme="minorHAnsi" w:hAnsiTheme="minorHAnsi"/>
        </w:rPr>
        <w:t xml:space="preserve"> vezano uz ljudske resurse</w:t>
      </w:r>
      <w:r w:rsidR="00016D07">
        <w:rPr>
          <w:rFonts w:asciiTheme="minorHAnsi" w:hAnsiTheme="minorHAnsi"/>
        </w:rPr>
        <w:t>,</w:t>
      </w:r>
      <w:r w:rsidRPr="007A598F">
        <w:rPr>
          <w:rFonts w:asciiTheme="minorHAnsi" w:hAnsiTheme="minorHAnsi"/>
        </w:rPr>
        <w:t xml:space="preserve"> uspostaviti sustav ovisnosti o izvršenju plana i plaće zaposlenika te nastaviti s programom </w:t>
      </w:r>
      <w:r w:rsidR="00016D07">
        <w:rPr>
          <w:rFonts w:asciiTheme="minorHAnsi" w:hAnsiTheme="minorHAnsi"/>
        </w:rPr>
        <w:t xml:space="preserve">usavršavanja </w:t>
      </w:r>
      <w:r w:rsidRPr="007A598F">
        <w:rPr>
          <w:rFonts w:asciiTheme="minorHAnsi" w:hAnsiTheme="minorHAnsi"/>
        </w:rPr>
        <w:t>prodajnih vještina prodajnog osoblja (izvrsnost prodaje)</w:t>
      </w:r>
      <w:r w:rsidR="00016D07">
        <w:rPr>
          <w:rFonts w:asciiTheme="minorHAnsi" w:hAnsiTheme="minorHAnsi"/>
        </w:rPr>
        <w:t>. Planiraju se i aktivnosti</w:t>
      </w:r>
      <w:r w:rsidRPr="007A598F">
        <w:rPr>
          <w:rFonts w:asciiTheme="minorHAnsi" w:hAnsiTheme="minorHAnsi"/>
        </w:rPr>
        <w:t xml:space="preserve"> jač</w:t>
      </w:r>
      <w:r w:rsidR="00016D07">
        <w:rPr>
          <w:rFonts w:asciiTheme="minorHAnsi" w:hAnsiTheme="minorHAnsi"/>
        </w:rPr>
        <w:t>anja</w:t>
      </w:r>
      <w:r w:rsidRPr="007A598F">
        <w:rPr>
          <w:rFonts w:asciiTheme="minorHAnsi" w:hAnsiTheme="minorHAnsi"/>
        </w:rPr>
        <w:t xml:space="preserve"> povezivanj</w:t>
      </w:r>
      <w:r w:rsidR="00016D07">
        <w:rPr>
          <w:rFonts w:asciiTheme="minorHAnsi" w:hAnsiTheme="minorHAnsi"/>
        </w:rPr>
        <w:t>a</w:t>
      </w:r>
      <w:r w:rsidRPr="007A598F">
        <w:rPr>
          <w:rFonts w:asciiTheme="minorHAnsi" w:hAnsiTheme="minorHAnsi"/>
        </w:rPr>
        <w:t xml:space="preserve"> s marketingom </w:t>
      </w:r>
      <w:r w:rsidR="00016D07">
        <w:rPr>
          <w:rFonts w:asciiTheme="minorHAnsi" w:hAnsiTheme="minorHAnsi"/>
        </w:rPr>
        <w:t>i</w:t>
      </w:r>
      <w:r w:rsidRPr="007A598F">
        <w:rPr>
          <w:rFonts w:asciiTheme="minorHAnsi" w:hAnsiTheme="minorHAnsi"/>
        </w:rPr>
        <w:t xml:space="preserve"> intenziviranje oglašavanja u domeni digitalnog marketinga</w:t>
      </w:r>
      <w:r w:rsidR="00016D07">
        <w:rPr>
          <w:rFonts w:asciiTheme="minorHAnsi" w:hAnsiTheme="minorHAnsi"/>
        </w:rPr>
        <w:t>.</w:t>
      </w:r>
    </w:p>
    <w:p w:rsidR="00EE08E5" w:rsidRPr="007A598F" w:rsidRDefault="00EE08E5" w:rsidP="00404E9E">
      <w:pPr>
        <w:jc w:val="both"/>
        <w:rPr>
          <w:rFonts w:asciiTheme="minorHAnsi" w:hAnsiTheme="minorHAnsi"/>
        </w:rPr>
      </w:pPr>
    </w:p>
    <w:p w:rsidR="00404E9E" w:rsidRPr="007A598F" w:rsidRDefault="00404E9E" w:rsidP="00E22AD5">
      <w:pPr>
        <w:pStyle w:val="ListParagraph"/>
        <w:numPr>
          <w:ilvl w:val="0"/>
          <w:numId w:val="2"/>
        </w:numPr>
        <w:jc w:val="both"/>
        <w:rPr>
          <w:rFonts w:asciiTheme="minorHAnsi" w:hAnsiTheme="minorHAnsi"/>
          <w:b/>
        </w:rPr>
      </w:pPr>
      <w:r w:rsidRPr="007A598F">
        <w:rPr>
          <w:rFonts w:asciiTheme="minorHAnsi" w:hAnsiTheme="minorHAnsi"/>
          <w:b/>
        </w:rPr>
        <w:t>Digitalizacija prodajnih mjesta</w:t>
      </w:r>
    </w:p>
    <w:p w:rsidR="00404E9E" w:rsidRPr="007A598F" w:rsidRDefault="00404E9E" w:rsidP="00404E9E">
      <w:pPr>
        <w:jc w:val="both"/>
        <w:rPr>
          <w:rFonts w:asciiTheme="minorHAnsi" w:hAnsiTheme="minorHAnsi"/>
        </w:rPr>
      </w:pPr>
      <w:r w:rsidRPr="007A598F">
        <w:rPr>
          <w:rFonts w:asciiTheme="minorHAnsi" w:hAnsiTheme="minorHAnsi"/>
        </w:rPr>
        <w:t xml:space="preserve">Trenutno su prodajna mjesta </w:t>
      </w:r>
      <w:r w:rsidR="000875BB">
        <w:rPr>
          <w:rFonts w:asciiTheme="minorHAnsi" w:hAnsiTheme="minorHAnsi"/>
        </w:rPr>
        <w:t>Hrvatske Lutrije</w:t>
      </w:r>
      <w:r w:rsidRPr="007A598F">
        <w:rPr>
          <w:rFonts w:asciiTheme="minorHAnsi" w:hAnsiTheme="minorHAnsi"/>
        </w:rPr>
        <w:t xml:space="preserve"> percipirana kao konzervativna prodajna mjesta sa klasičnim komunikacijskim medijima (npr. naljepnice i papirne reklame), a sama ponuda, posebno lutrijskih igara, temeljena na papirnatom mediju. Ove postavke i uređenje ne animiraju igrače mlađe generacije koji samim time niti ne zalaze u tradicionalna prodajna mjesta </w:t>
      </w:r>
      <w:r w:rsidR="003E1B53">
        <w:rPr>
          <w:rFonts w:asciiTheme="minorHAnsi" w:hAnsiTheme="minorHAnsi"/>
        </w:rPr>
        <w:t>H</w:t>
      </w:r>
      <w:r w:rsidR="000875BB">
        <w:rPr>
          <w:rFonts w:asciiTheme="minorHAnsi" w:hAnsiTheme="minorHAnsi"/>
        </w:rPr>
        <w:t xml:space="preserve">rvatske </w:t>
      </w:r>
      <w:r w:rsidR="003E1B53">
        <w:rPr>
          <w:rFonts w:asciiTheme="minorHAnsi" w:hAnsiTheme="minorHAnsi"/>
        </w:rPr>
        <w:t>L</w:t>
      </w:r>
      <w:r w:rsidR="000875BB">
        <w:rPr>
          <w:rFonts w:asciiTheme="minorHAnsi" w:hAnsiTheme="minorHAnsi"/>
        </w:rPr>
        <w:t>utrije</w:t>
      </w:r>
      <w:r w:rsidRPr="007A598F">
        <w:rPr>
          <w:rFonts w:asciiTheme="minorHAnsi" w:hAnsiTheme="minorHAnsi"/>
        </w:rPr>
        <w:t>.</w:t>
      </w:r>
    </w:p>
    <w:p w:rsidR="00404E9E" w:rsidRPr="007A598F" w:rsidRDefault="00404E9E" w:rsidP="00404E9E">
      <w:pPr>
        <w:jc w:val="both"/>
        <w:rPr>
          <w:rFonts w:asciiTheme="minorHAnsi" w:hAnsiTheme="minorHAnsi"/>
        </w:rPr>
      </w:pPr>
      <w:r w:rsidRPr="007A598F">
        <w:rPr>
          <w:rFonts w:asciiTheme="minorHAnsi" w:hAnsiTheme="minorHAnsi"/>
        </w:rPr>
        <w:t>Mlađu populaciju igrača moguće je animirati digitalizacijom prostora, mogućnošću povezivanja sa socijalnim mrežama i komunikacijom dobitka i konceptom igraonice umjesto prodajnog mjesta.</w:t>
      </w:r>
    </w:p>
    <w:p w:rsidR="00404E9E" w:rsidRPr="007A598F" w:rsidRDefault="00404E9E" w:rsidP="00404E9E">
      <w:pPr>
        <w:jc w:val="both"/>
        <w:rPr>
          <w:rFonts w:asciiTheme="minorHAnsi" w:hAnsiTheme="minorHAnsi"/>
        </w:rPr>
      </w:pPr>
      <w:r w:rsidRPr="007A598F">
        <w:rPr>
          <w:rFonts w:asciiTheme="minorHAnsi" w:hAnsiTheme="minorHAnsi"/>
        </w:rPr>
        <w:t xml:space="preserve">Mlađi igrači nemaju naviku odlaska u </w:t>
      </w:r>
      <w:r w:rsidR="00CA1A50">
        <w:rPr>
          <w:rFonts w:asciiTheme="minorHAnsi" w:hAnsiTheme="minorHAnsi"/>
        </w:rPr>
        <w:t>prodajna mjesta</w:t>
      </w:r>
      <w:r w:rsidR="000875BB">
        <w:rPr>
          <w:rFonts w:asciiTheme="minorHAnsi" w:hAnsiTheme="minorHAnsi"/>
        </w:rPr>
        <w:t xml:space="preserve"> Hrvatske Lutrije</w:t>
      </w:r>
      <w:r w:rsidR="00CA1A50">
        <w:rPr>
          <w:rFonts w:asciiTheme="minorHAnsi" w:hAnsiTheme="minorHAnsi"/>
        </w:rPr>
        <w:t xml:space="preserve"> i općenito prodajna mjesta</w:t>
      </w:r>
      <w:r w:rsidRPr="007A598F">
        <w:rPr>
          <w:rFonts w:asciiTheme="minorHAnsi" w:hAnsiTheme="minorHAnsi"/>
        </w:rPr>
        <w:t xml:space="preserve">, </w:t>
      </w:r>
      <w:r w:rsidR="00CA1A50">
        <w:rPr>
          <w:rFonts w:asciiTheme="minorHAnsi" w:hAnsiTheme="minorHAnsi"/>
        </w:rPr>
        <w:t xml:space="preserve">već </w:t>
      </w:r>
      <w:r w:rsidRPr="007A598F">
        <w:rPr>
          <w:rFonts w:asciiTheme="minorHAnsi" w:hAnsiTheme="minorHAnsi"/>
        </w:rPr>
        <w:t>imaju naviku obavljanja transakcija na različitim vrstama terminala, od bankomata, „totem” terminala</w:t>
      </w:r>
      <w:r w:rsidR="00CA1A50">
        <w:rPr>
          <w:rFonts w:asciiTheme="minorHAnsi" w:hAnsiTheme="minorHAnsi"/>
        </w:rPr>
        <w:t xml:space="preserve"> do</w:t>
      </w:r>
      <w:r w:rsidRPr="007A598F">
        <w:rPr>
          <w:rFonts w:asciiTheme="minorHAnsi" w:hAnsiTheme="minorHAnsi"/>
        </w:rPr>
        <w:t xml:space="preserve"> aparata za napitke („vending machines”). Ova inicijativa ima za cilj postaviti ov</w:t>
      </w:r>
      <w:r w:rsidR="00547EE0">
        <w:rPr>
          <w:rFonts w:asciiTheme="minorHAnsi" w:hAnsiTheme="minorHAnsi"/>
        </w:rPr>
        <w:t>akvu</w:t>
      </w:r>
      <w:r w:rsidRPr="007A598F">
        <w:rPr>
          <w:rFonts w:asciiTheme="minorHAnsi" w:hAnsiTheme="minorHAnsi"/>
        </w:rPr>
        <w:t xml:space="preserve"> vrstu uređaja u dnevni raspored igrača, po kinima, shopping centrima, kafićima  i tako im omogućiti igranje van poslovnice.</w:t>
      </w:r>
    </w:p>
    <w:p w:rsidR="00404E9E" w:rsidRPr="007A598F" w:rsidRDefault="00404E9E" w:rsidP="00404E9E">
      <w:pPr>
        <w:jc w:val="both"/>
        <w:rPr>
          <w:rFonts w:asciiTheme="minorHAnsi" w:hAnsiTheme="minorHAnsi"/>
        </w:rPr>
      </w:pPr>
      <w:r w:rsidRPr="007A598F">
        <w:rPr>
          <w:rFonts w:asciiTheme="minorHAnsi" w:hAnsiTheme="minorHAnsi"/>
        </w:rPr>
        <w:t xml:space="preserve">Cilj je </w:t>
      </w:r>
      <w:r w:rsidRPr="007A598F">
        <w:rPr>
          <w:rFonts w:asciiTheme="minorHAnsi" w:hAnsiTheme="minorHAnsi"/>
          <w:bCs/>
        </w:rPr>
        <w:t xml:space="preserve">animirati 20.000 novih igrača godišnje, </w:t>
      </w:r>
      <w:r w:rsidRPr="007A598F">
        <w:rPr>
          <w:rFonts w:asciiTheme="minorHAnsi" w:hAnsiTheme="minorHAnsi"/>
        </w:rPr>
        <w:t>mlađe popul</w:t>
      </w:r>
      <w:r w:rsidR="000875BB">
        <w:rPr>
          <w:rFonts w:asciiTheme="minorHAnsi" w:hAnsiTheme="minorHAnsi"/>
        </w:rPr>
        <w:t>acije u maloprodajnoj mreži Hrvatske Lutrije</w:t>
      </w:r>
      <w:r w:rsidRPr="007A598F">
        <w:rPr>
          <w:rFonts w:asciiTheme="minorHAnsi" w:hAnsiTheme="minorHAnsi"/>
        </w:rPr>
        <w:t>.</w:t>
      </w:r>
    </w:p>
    <w:p w:rsidR="00404E9E" w:rsidRPr="007A598F" w:rsidRDefault="00404E9E" w:rsidP="00404E9E">
      <w:pPr>
        <w:jc w:val="both"/>
        <w:rPr>
          <w:rFonts w:asciiTheme="minorHAnsi" w:hAnsiTheme="minorHAnsi"/>
        </w:rPr>
      </w:pPr>
    </w:p>
    <w:p w:rsidR="00404E9E" w:rsidRPr="007A598F" w:rsidRDefault="00404E9E" w:rsidP="00E22AD5">
      <w:pPr>
        <w:pStyle w:val="Heading1"/>
        <w:numPr>
          <w:ilvl w:val="2"/>
          <w:numId w:val="1"/>
        </w:numPr>
        <w:jc w:val="both"/>
        <w:rPr>
          <w:rFonts w:ascii="Calibri" w:hAnsi="Calibri" w:cs="Calibri"/>
          <w:sz w:val="28"/>
          <w:szCs w:val="28"/>
        </w:rPr>
      </w:pPr>
      <w:bookmarkStart w:id="12" w:name="_Toc532299616"/>
      <w:r w:rsidRPr="007A598F">
        <w:rPr>
          <w:rFonts w:ascii="Calibri" w:hAnsi="Calibri" w:cs="Calibri"/>
          <w:sz w:val="28"/>
          <w:szCs w:val="28"/>
        </w:rPr>
        <w:t>Unaprjeđenje upravljanja ljudskim potencijalima</w:t>
      </w:r>
      <w:bookmarkEnd w:id="12"/>
      <w:r w:rsidRPr="007A598F">
        <w:rPr>
          <w:rFonts w:ascii="Calibri" w:hAnsi="Calibri" w:cs="Calibri"/>
          <w:sz w:val="28"/>
          <w:szCs w:val="28"/>
        </w:rPr>
        <w:t xml:space="preserve"> </w:t>
      </w:r>
    </w:p>
    <w:p w:rsidR="00404E9E" w:rsidRPr="007A598F" w:rsidRDefault="00404E9E" w:rsidP="00404E9E">
      <w:pPr>
        <w:jc w:val="both"/>
        <w:rPr>
          <w:rFonts w:asciiTheme="minorHAnsi" w:hAnsiTheme="minorHAnsi"/>
        </w:rPr>
      </w:pPr>
      <w:r w:rsidRPr="007A598F">
        <w:rPr>
          <w:rFonts w:asciiTheme="minorHAnsi" w:hAnsiTheme="minorHAnsi"/>
        </w:rPr>
        <w:t>Odnosi se na 3 glavna područja:</w:t>
      </w:r>
    </w:p>
    <w:p w:rsidR="00404E9E" w:rsidRPr="006B4D69" w:rsidRDefault="00404E9E" w:rsidP="006B4D69">
      <w:pPr>
        <w:pStyle w:val="ListParagraph"/>
        <w:numPr>
          <w:ilvl w:val="0"/>
          <w:numId w:val="35"/>
        </w:numPr>
        <w:jc w:val="both"/>
        <w:rPr>
          <w:rFonts w:asciiTheme="minorHAnsi" w:hAnsiTheme="minorHAnsi"/>
          <w:b/>
        </w:rPr>
      </w:pPr>
      <w:r w:rsidRPr="006B4D69">
        <w:rPr>
          <w:rFonts w:asciiTheme="minorHAnsi" w:hAnsiTheme="minorHAnsi"/>
          <w:b/>
        </w:rPr>
        <w:t>Unaprjeđenje sustava nagrađivanja</w:t>
      </w:r>
    </w:p>
    <w:p w:rsidR="00404E9E" w:rsidRPr="007A598F" w:rsidRDefault="00404E9E" w:rsidP="00404E9E">
      <w:pPr>
        <w:jc w:val="both"/>
        <w:rPr>
          <w:rFonts w:asciiTheme="minorHAnsi" w:hAnsiTheme="minorHAnsi"/>
        </w:rPr>
      </w:pPr>
      <w:r w:rsidRPr="007A598F">
        <w:rPr>
          <w:rFonts w:asciiTheme="minorHAnsi" w:hAnsiTheme="minorHAnsi"/>
        </w:rPr>
        <w:lastRenderedPageBreak/>
        <w:t>Cilj inicijative jest redefinirati postojeći sustav nagrađivanja</w:t>
      </w:r>
      <w:r w:rsidR="00314618">
        <w:rPr>
          <w:rFonts w:asciiTheme="minorHAnsi" w:hAnsiTheme="minorHAnsi"/>
        </w:rPr>
        <w:t xml:space="preserve"> koji se u najvećem dijelu odnosi na prodajno osoblje</w:t>
      </w:r>
      <w:r w:rsidRPr="007A598F">
        <w:rPr>
          <w:rFonts w:asciiTheme="minorHAnsi" w:hAnsiTheme="minorHAnsi"/>
        </w:rPr>
        <w:t xml:space="preserve">, s konačnim ciljem povećanja motivacije i financijskih rezultata kroz povezivanje individualnih nagrada i primitaka s </w:t>
      </w:r>
      <w:r w:rsidR="00C04E1B" w:rsidRPr="007A598F">
        <w:rPr>
          <w:rFonts w:asciiTheme="minorHAnsi" w:hAnsiTheme="minorHAnsi"/>
        </w:rPr>
        <w:t xml:space="preserve">ostvarenjem zadanih </w:t>
      </w:r>
      <w:r w:rsidRPr="007A598F">
        <w:rPr>
          <w:rFonts w:asciiTheme="minorHAnsi" w:hAnsiTheme="minorHAnsi"/>
        </w:rPr>
        <w:t>individualni</w:t>
      </w:r>
      <w:r w:rsidR="00C04E1B">
        <w:rPr>
          <w:rFonts w:asciiTheme="minorHAnsi" w:hAnsiTheme="minorHAnsi"/>
        </w:rPr>
        <w:t>h</w:t>
      </w:r>
      <w:r w:rsidRPr="007A598F">
        <w:rPr>
          <w:rFonts w:asciiTheme="minorHAnsi" w:hAnsiTheme="minorHAnsi"/>
        </w:rPr>
        <w:t xml:space="preserve"> (i grupnim) ciljeva. Ključni elementi inicijative su:</w:t>
      </w:r>
    </w:p>
    <w:p w:rsidR="00404E9E" w:rsidRPr="007A598F" w:rsidRDefault="00404E9E" w:rsidP="00B47E3F">
      <w:pPr>
        <w:numPr>
          <w:ilvl w:val="0"/>
          <w:numId w:val="6"/>
        </w:numPr>
        <w:spacing w:after="0" w:line="240" w:lineRule="auto"/>
        <w:jc w:val="both"/>
        <w:rPr>
          <w:rFonts w:asciiTheme="minorHAnsi" w:hAnsiTheme="minorHAnsi"/>
        </w:rPr>
      </w:pPr>
      <w:r w:rsidRPr="007A598F">
        <w:rPr>
          <w:rFonts w:asciiTheme="minorHAnsi" w:hAnsiTheme="minorHAnsi"/>
        </w:rPr>
        <w:t>Revidirati po</w:t>
      </w:r>
      <w:r w:rsidR="000875BB">
        <w:rPr>
          <w:rFonts w:asciiTheme="minorHAnsi" w:hAnsiTheme="minorHAnsi"/>
        </w:rPr>
        <w:t>stojeći sustav nagrađivanja u Hrvatskoj Lutriji</w:t>
      </w:r>
      <w:r w:rsidRPr="007A598F">
        <w:rPr>
          <w:rFonts w:asciiTheme="minorHAnsi" w:hAnsiTheme="minorHAnsi"/>
        </w:rPr>
        <w:t xml:space="preserve"> i dobiti odobrenje za novi koncept:</w:t>
      </w:r>
    </w:p>
    <w:p w:rsidR="00404E9E" w:rsidRPr="007A598F" w:rsidRDefault="00404E9E" w:rsidP="00B47E3F">
      <w:pPr>
        <w:numPr>
          <w:ilvl w:val="1"/>
          <w:numId w:val="6"/>
        </w:numPr>
        <w:spacing w:after="0" w:line="240" w:lineRule="auto"/>
        <w:jc w:val="both"/>
        <w:rPr>
          <w:rFonts w:asciiTheme="minorHAnsi" w:hAnsiTheme="minorHAnsi"/>
        </w:rPr>
      </w:pPr>
      <w:r w:rsidRPr="007A598F">
        <w:rPr>
          <w:rFonts w:asciiTheme="minorHAnsi" w:hAnsiTheme="minorHAnsi"/>
        </w:rPr>
        <w:t>Revidirati sustav ocjenjivanja te sustav nagrađivanja i motivacije zaposlenika u prodaji i izvan prodaje (središnje funkcije).</w:t>
      </w:r>
    </w:p>
    <w:p w:rsidR="00404E9E" w:rsidRPr="007A598F" w:rsidRDefault="00404E9E" w:rsidP="00B47E3F">
      <w:pPr>
        <w:numPr>
          <w:ilvl w:val="1"/>
          <w:numId w:val="6"/>
        </w:numPr>
        <w:spacing w:after="0" w:line="240" w:lineRule="auto"/>
        <w:jc w:val="both"/>
        <w:rPr>
          <w:rFonts w:asciiTheme="minorHAnsi" w:hAnsiTheme="minorHAnsi"/>
        </w:rPr>
      </w:pPr>
      <w:r w:rsidRPr="007A598F">
        <w:rPr>
          <w:rFonts w:asciiTheme="minorHAnsi" w:hAnsiTheme="minorHAnsi"/>
        </w:rPr>
        <w:t>Definirati model za projektno nagrađivanje.</w:t>
      </w:r>
    </w:p>
    <w:p w:rsidR="00404E9E" w:rsidRPr="007A598F" w:rsidRDefault="00404E9E" w:rsidP="00B47E3F">
      <w:pPr>
        <w:numPr>
          <w:ilvl w:val="0"/>
          <w:numId w:val="6"/>
        </w:numPr>
        <w:spacing w:after="0" w:line="240" w:lineRule="auto"/>
        <w:jc w:val="both"/>
        <w:rPr>
          <w:rFonts w:asciiTheme="minorHAnsi" w:hAnsiTheme="minorHAnsi"/>
        </w:rPr>
      </w:pPr>
      <w:r w:rsidRPr="007A598F">
        <w:rPr>
          <w:rFonts w:asciiTheme="minorHAnsi" w:hAnsiTheme="minorHAnsi"/>
        </w:rPr>
        <w:t>Informatizacija HR procesa – implementacija novog alata/platforme</w:t>
      </w:r>
    </w:p>
    <w:p w:rsidR="00404E9E" w:rsidRPr="007A598F" w:rsidRDefault="00404E9E" w:rsidP="00B47E3F">
      <w:pPr>
        <w:numPr>
          <w:ilvl w:val="0"/>
          <w:numId w:val="6"/>
        </w:numPr>
        <w:spacing w:after="0" w:line="240" w:lineRule="auto"/>
        <w:jc w:val="both"/>
        <w:rPr>
          <w:rFonts w:asciiTheme="minorHAnsi" w:hAnsiTheme="minorHAnsi"/>
        </w:rPr>
      </w:pPr>
      <w:r w:rsidRPr="007A598F">
        <w:rPr>
          <w:rFonts w:asciiTheme="minorHAnsi" w:hAnsiTheme="minorHAnsi"/>
        </w:rPr>
        <w:t>Kontinuirano praćenje rezultata sustava nagrađivanja i potrebne adaptacije.</w:t>
      </w:r>
    </w:p>
    <w:p w:rsidR="000F70FE" w:rsidRPr="007A598F" w:rsidRDefault="000F70FE" w:rsidP="00404E9E">
      <w:pPr>
        <w:jc w:val="both"/>
        <w:rPr>
          <w:rFonts w:asciiTheme="minorHAnsi" w:hAnsiTheme="minorHAnsi"/>
        </w:rPr>
      </w:pPr>
    </w:p>
    <w:p w:rsidR="00D24FCA" w:rsidRPr="00D24FCA" w:rsidRDefault="00EE08E5" w:rsidP="00D24FCA">
      <w:pPr>
        <w:jc w:val="both"/>
        <w:rPr>
          <w:rFonts w:asciiTheme="minorHAnsi" w:hAnsiTheme="minorHAnsi"/>
        </w:rPr>
      </w:pPr>
      <w:r>
        <w:rPr>
          <w:rFonts w:asciiTheme="minorHAnsi" w:hAnsiTheme="minorHAnsi"/>
        </w:rPr>
        <w:t xml:space="preserve">Od listopada 2018. godine u primjeni je </w:t>
      </w:r>
      <w:r w:rsidR="00404E9E" w:rsidRPr="007A598F">
        <w:rPr>
          <w:rFonts w:asciiTheme="minorHAnsi" w:hAnsiTheme="minorHAnsi"/>
        </w:rPr>
        <w:t>nov</w:t>
      </w:r>
      <w:r>
        <w:rPr>
          <w:rFonts w:asciiTheme="minorHAnsi" w:hAnsiTheme="minorHAnsi"/>
        </w:rPr>
        <w:t>i</w:t>
      </w:r>
      <w:r w:rsidR="00404E9E" w:rsidRPr="007A598F">
        <w:rPr>
          <w:rFonts w:asciiTheme="minorHAnsi" w:hAnsiTheme="minorHAnsi"/>
        </w:rPr>
        <w:t xml:space="preserve"> model nagrađivanj</w:t>
      </w:r>
      <w:r w:rsidR="00314618">
        <w:rPr>
          <w:rFonts w:asciiTheme="minorHAnsi" w:hAnsiTheme="minorHAnsi"/>
        </w:rPr>
        <w:t>a</w:t>
      </w:r>
      <w:r w:rsidR="00404E9E" w:rsidRPr="007A598F">
        <w:rPr>
          <w:rFonts w:asciiTheme="minorHAnsi" w:hAnsiTheme="minorHAnsi"/>
        </w:rPr>
        <w:t xml:space="preserve"> </w:t>
      </w:r>
      <w:r>
        <w:rPr>
          <w:rFonts w:asciiTheme="minorHAnsi" w:hAnsiTheme="minorHAnsi"/>
        </w:rPr>
        <w:t xml:space="preserve">zaposlenika u prodaji, a izrađen je i </w:t>
      </w:r>
      <w:r w:rsidR="00404E9E" w:rsidRPr="007A598F">
        <w:rPr>
          <w:rFonts w:asciiTheme="minorHAnsi" w:hAnsiTheme="minorHAnsi"/>
        </w:rPr>
        <w:t xml:space="preserve"> koncept informatizacije HR procesa</w:t>
      </w:r>
      <w:r>
        <w:rPr>
          <w:rFonts w:asciiTheme="minorHAnsi" w:hAnsiTheme="minorHAnsi"/>
        </w:rPr>
        <w:t>.</w:t>
      </w:r>
      <w:r w:rsidR="00404E9E" w:rsidRPr="007A598F">
        <w:rPr>
          <w:rFonts w:asciiTheme="minorHAnsi" w:hAnsiTheme="minorHAnsi"/>
        </w:rPr>
        <w:t xml:space="preserve"> </w:t>
      </w:r>
      <w:r w:rsidR="00D24FCA">
        <w:rPr>
          <w:rFonts w:asciiTheme="minorHAnsi" w:hAnsiTheme="minorHAnsi"/>
        </w:rPr>
        <w:t xml:space="preserve">Također, </w:t>
      </w:r>
      <w:r w:rsidR="00D24FCA" w:rsidRPr="00D24FCA">
        <w:rPr>
          <w:rFonts w:asciiTheme="minorHAnsi" w:hAnsiTheme="minorHAnsi"/>
        </w:rPr>
        <w:t>u 2018. godini započ</w:t>
      </w:r>
      <w:r w:rsidR="00D24FCA">
        <w:rPr>
          <w:rFonts w:asciiTheme="minorHAnsi" w:hAnsiTheme="minorHAnsi"/>
        </w:rPr>
        <w:t>ele su</w:t>
      </w:r>
      <w:r w:rsidR="00D24FCA" w:rsidRPr="00D24FCA">
        <w:rPr>
          <w:rFonts w:asciiTheme="minorHAnsi" w:hAnsiTheme="minorHAnsi"/>
        </w:rPr>
        <w:t xml:space="preserve"> pripremne aktivnosti vezane za nabavu HR alata, točnije nabavu cjelovitog integriranog HR programskog rješenja. Cjelokupno integrirano HR programsko rješenje kroz uvođenje nove aplikacije za podršku procesima ljudskih resursa, nužno je radi upravljanja kvalitetom i efikasnošću razvojnih funkcija ljudskih potencijala u Društvu (upravljanja sustavom zapošljavanja, upravljanja ciljevima i učinkom, upravljanje sustavom nagrađivanja, pregled potencijala, planiranje sukcesije, upravljanja edukacijama, kompetencijama, i karijerom). Uz uvođenje programskog rješenja postići će se optimizacija poslovnih procesa: prikupljanje informacija o postojećim poslovnim procesima unutar Društva, te unapređenje i segmenata potrebnih za daljnje unapređenje poslovanja kako bi se što bolje i efikasnije projektirala podrška i optimizirali poslovni procesi unutar ljudskih potencijala.</w:t>
      </w:r>
    </w:p>
    <w:p w:rsidR="00D24FCA" w:rsidRDefault="00D24FCA" w:rsidP="00D24FCA">
      <w:pPr>
        <w:jc w:val="both"/>
        <w:rPr>
          <w:rFonts w:asciiTheme="minorHAnsi" w:hAnsiTheme="minorHAnsi"/>
        </w:rPr>
      </w:pPr>
    </w:p>
    <w:p w:rsidR="00404E9E" w:rsidRPr="006B4D69" w:rsidRDefault="00404E9E" w:rsidP="006B4D69">
      <w:pPr>
        <w:pStyle w:val="ListParagraph"/>
        <w:numPr>
          <w:ilvl w:val="0"/>
          <w:numId w:val="35"/>
        </w:numPr>
        <w:jc w:val="both"/>
        <w:rPr>
          <w:rFonts w:asciiTheme="minorHAnsi" w:hAnsiTheme="minorHAnsi"/>
          <w:b/>
        </w:rPr>
      </w:pPr>
      <w:r w:rsidRPr="006B4D69">
        <w:rPr>
          <w:rFonts w:asciiTheme="minorHAnsi" w:hAnsiTheme="minorHAnsi"/>
          <w:b/>
        </w:rPr>
        <w:t>Uvođenje funkcije voditelja proizvoda/kanala</w:t>
      </w:r>
    </w:p>
    <w:p w:rsidR="00404E9E" w:rsidRPr="007A598F" w:rsidRDefault="00404E9E" w:rsidP="00404E9E">
      <w:pPr>
        <w:jc w:val="both"/>
        <w:rPr>
          <w:rFonts w:asciiTheme="minorHAnsi" w:hAnsiTheme="minorHAnsi"/>
          <w:b/>
          <w:bCs/>
        </w:rPr>
      </w:pPr>
      <w:r w:rsidRPr="007A598F">
        <w:rPr>
          <w:rFonts w:asciiTheme="minorHAnsi" w:hAnsiTheme="minorHAnsi"/>
        </w:rPr>
        <w:t>Cilj inicijative je unaprjeđenje i sistematizacija sustava upravljanja razvojem</w:t>
      </w:r>
      <w:r w:rsidR="00C04E1B">
        <w:rPr>
          <w:rFonts w:asciiTheme="minorHAnsi" w:hAnsiTheme="minorHAnsi"/>
        </w:rPr>
        <w:t xml:space="preserve"> proizvoda</w:t>
      </w:r>
      <w:r w:rsidRPr="007A598F">
        <w:rPr>
          <w:rFonts w:asciiTheme="minorHAnsi" w:hAnsiTheme="minorHAnsi"/>
        </w:rPr>
        <w:t xml:space="preserve"> i uvođenjem funkcija voditelja proizvoda. U okviru ove inicijative predviđa se i uvođenje funkcije voditelja kanala prodaje.</w:t>
      </w:r>
      <w:r w:rsidRPr="007A598F">
        <w:rPr>
          <w:rFonts w:asciiTheme="minorHAnsi" w:hAnsiTheme="minorHAnsi"/>
          <w:b/>
          <w:bCs/>
        </w:rPr>
        <w:t xml:space="preserve">  </w:t>
      </w:r>
    </w:p>
    <w:p w:rsidR="00404E9E" w:rsidRPr="007A598F" w:rsidRDefault="00404E9E" w:rsidP="00404E9E">
      <w:pPr>
        <w:jc w:val="both"/>
        <w:rPr>
          <w:rFonts w:asciiTheme="minorHAnsi" w:hAnsiTheme="minorHAnsi"/>
        </w:rPr>
      </w:pPr>
      <w:r w:rsidRPr="007A598F">
        <w:rPr>
          <w:rFonts w:asciiTheme="minorHAnsi" w:hAnsiTheme="minorHAnsi"/>
        </w:rPr>
        <w:t>Voditelj proizvoda/kanala odgovoran je za financijski učinak igre, a potrebno ga je stimulirati na osnovu ostvarenih rezultata.</w:t>
      </w:r>
    </w:p>
    <w:p w:rsidR="00404E9E" w:rsidRDefault="00404E9E" w:rsidP="00404E9E">
      <w:pPr>
        <w:jc w:val="both"/>
        <w:rPr>
          <w:rFonts w:asciiTheme="minorHAnsi" w:hAnsiTheme="minorHAnsi"/>
        </w:rPr>
      </w:pPr>
      <w:r w:rsidRPr="007A598F">
        <w:rPr>
          <w:rFonts w:asciiTheme="minorHAnsi" w:hAnsiTheme="minorHAnsi"/>
        </w:rPr>
        <w:t>U 2018. god</w:t>
      </w:r>
      <w:r w:rsidR="00092BB7">
        <w:rPr>
          <w:rFonts w:asciiTheme="minorHAnsi" w:hAnsiTheme="minorHAnsi"/>
        </w:rPr>
        <w:t>i</w:t>
      </w:r>
      <w:r w:rsidRPr="007A598F">
        <w:rPr>
          <w:rFonts w:asciiTheme="minorHAnsi" w:hAnsiTheme="minorHAnsi"/>
        </w:rPr>
        <w:t xml:space="preserve">ni </w:t>
      </w:r>
      <w:r w:rsidR="00D24FCA">
        <w:rPr>
          <w:rFonts w:asciiTheme="minorHAnsi" w:hAnsiTheme="minorHAnsi"/>
        </w:rPr>
        <w:t>napravljene su</w:t>
      </w:r>
      <w:r w:rsidRPr="007A598F">
        <w:rPr>
          <w:rFonts w:asciiTheme="minorHAnsi" w:hAnsiTheme="minorHAnsi"/>
        </w:rPr>
        <w:t xml:space="preserve"> izmjene sistematizacije</w:t>
      </w:r>
      <w:r w:rsidR="00D24FCA">
        <w:rPr>
          <w:rFonts w:asciiTheme="minorHAnsi" w:hAnsiTheme="minorHAnsi"/>
        </w:rPr>
        <w:t xml:space="preserve">, kao preduvjet za </w:t>
      </w:r>
      <w:r w:rsidRPr="007A598F">
        <w:rPr>
          <w:rFonts w:asciiTheme="minorHAnsi" w:hAnsiTheme="minorHAnsi"/>
        </w:rPr>
        <w:t>uv</w:t>
      </w:r>
      <w:r w:rsidR="00CF4AC4">
        <w:rPr>
          <w:rFonts w:asciiTheme="minorHAnsi" w:hAnsiTheme="minorHAnsi"/>
        </w:rPr>
        <w:t xml:space="preserve">ođenje navedenih radnih mjesta. </w:t>
      </w:r>
    </w:p>
    <w:p w:rsidR="00D24FCA" w:rsidRPr="007A598F" w:rsidRDefault="00D24FCA" w:rsidP="00404E9E">
      <w:pPr>
        <w:jc w:val="both"/>
        <w:rPr>
          <w:rFonts w:asciiTheme="minorHAnsi" w:hAnsiTheme="minorHAnsi"/>
        </w:rPr>
      </w:pPr>
    </w:p>
    <w:p w:rsidR="00404E9E" w:rsidRPr="006B4D69" w:rsidRDefault="00404E9E" w:rsidP="006B4D69">
      <w:pPr>
        <w:pStyle w:val="ListParagraph"/>
        <w:numPr>
          <w:ilvl w:val="0"/>
          <w:numId w:val="35"/>
        </w:numPr>
        <w:jc w:val="both"/>
        <w:rPr>
          <w:rFonts w:asciiTheme="minorHAnsi" w:hAnsiTheme="minorHAnsi"/>
          <w:b/>
        </w:rPr>
      </w:pPr>
      <w:r w:rsidRPr="006B4D69">
        <w:rPr>
          <w:rFonts w:asciiTheme="minorHAnsi" w:hAnsiTheme="minorHAnsi"/>
          <w:b/>
        </w:rPr>
        <w:t>Razvoj i zadržavanje zaposlenika</w:t>
      </w:r>
    </w:p>
    <w:p w:rsidR="00404E9E" w:rsidRPr="007A598F" w:rsidRDefault="00404E9E" w:rsidP="00404E9E">
      <w:pPr>
        <w:jc w:val="both"/>
        <w:rPr>
          <w:rFonts w:asciiTheme="minorHAnsi" w:hAnsiTheme="minorHAnsi"/>
        </w:rPr>
      </w:pPr>
      <w:r w:rsidRPr="007A598F">
        <w:rPr>
          <w:rFonts w:asciiTheme="minorHAnsi" w:hAnsiTheme="minorHAnsi"/>
        </w:rPr>
        <w:t xml:space="preserve">Cilj inicijative je stvoriti formalni okvir za razvoj karijera, a s ciljem zadržavanja ključnih zaposlenika i osiguranje prijenosa znanja kroz sustav mentorstva. </w:t>
      </w:r>
    </w:p>
    <w:p w:rsidR="00404E9E" w:rsidRPr="007A598F" w:rsidRDefault="00404E9E" w:rsidP="00404E9E">
      <w:pPr>
        <w:jc w:val="both"/>
        <w:rPr>
          <w:rFonts w:asciiTheme="minorHAnsi" w:hAnsiTheme="minorHAnsi"/>
        </w:rPr>
      </w:pPr>
      <w:r w:rsidRPr="007A598F">
        <w:rPr>
          <w:rFonts w:asciiTheme="minorHAnsi" w:hAnsiTheme="minorHAnsi"/>
        </w:rPr>
        <w:lastRenderedPageBreak/>
        <w:t>U 201</w:t>
      </w:r>
      <w:r w:rsidR="00D24FCA">
        <w:rPr>
          <w:rFonts w:asciiTheme="minorHAnsi" w:hAnsiTheme="minorHAnsi"/>
        </w:rPr>
        <w:t>9</w:t>
      </w:r>
      <w:r w:rsidRPr="007A598F">
        <w:rPr>
          <w:rFonts w:asciiTheme="minorHAnsi" w:hAnsiTheme="minorHAnsi"/>
        </w:rPr>
        <w:t>. godini u planu je definirati plan razvoja zaposlenika, identificirati talente i plan nasljeđivanja te definirati plan zadržavanja ključnih zaposlenika.</w:t>
      </w:r>
    </w:p>
    <w:p w:rsidR="003A09B6" w:rsidRPr="007A598F" w:rsidRDefault="00404E9E" w:rsidP="000F70FE">
      <w:pPr>
        <w:jc w:val="both"/>
        <w:rPr>
          <w:rFonts w:asciiTheme="minorHAnsi" w:hAnsiTheme="minorHAnsi"/>
        </w:rPr>
      </w:pPr>
      <w:r w:rsidRPr="007A598F">
        <w:rPr>
          <w:rFonts w:asciiTheme="minorHAnsi" w:hAnsiTheme="minorHAnsi"/>
        </w:rPr>
        <w:t xml:space="preserve">U cilju poboljšanja dobne i </w:t>
      </w:r>
      <w:r w:rsidR="00092BB7" w:rsidRPr="007A598F">
        <w:rPr>
          <w:rFonts w:asciiTheme="minorHAnsi" w:hAnsiTheme="minorHAnsi"/>
        </w:rPr>
        <w:t>kvalifikacijske</w:t>
      </w:r>
      <w:r w:rsidRPr="007A598F">
        <w:rPr>
          <w:rFonts w:asciiTheme="minorHAnsi" w:hAnsiTheme="minorHAnsi"/>
        </w:rPr>
        <w:t xml:space="preserve"> strukture u H</w:t>
      </w:r>
      <w:r w:rsidR="000875BB">
        <w:rPr>
          <w:rFonts w:asciiTheme="minorHAnsi" w:hAnsiTheme="minorHAnsi"/>
        </w:rPr>
        <w:t xml:space="preserve">rvatskoj </w:t>
      </w:r>
      <w:r w:rsidRPr="007A598F">
        <w:rPr>
          <w:rFonts w:asciiTheme="minorHAnsi" w:hAnsiTheme="minorHAnsi"/>
        </w:rPr>
        <w:t>L</w:t>
      </w:r>
      <w:r w:rsidR="000875BB">
        <w:rPr>
          <w:rFonts w:asciiTheme="minorHAnsi" w:hAnsiTheme="minorHAnsi"/>
        </w:rPr>
        <w:t>utriji</w:t>
      </w:r>
      <w:r w:rsidRPr="007A598F">
        <w:rPr>
          <w:rFonts w:asciiTheme="minorHAnsi" w:hAnsiTheme="minorHAnsi"/>
        </w:rPr>
        <w:t xml:space="preserve"> nastavit će se s programom </w:t>
      </w:r>
      <w:r w:rsidR="00314618">
        <w:rPr>
          <w:rFonts w:asciiTheme="minorHAnsi" w:hAnsiTheme="minorHAnsi"/>
        </w:rPr>
        <w:t>zbrinjavanja putem</w:t>
      </w:r>
      <w:r w:rsidR="000875BB">
        <w:rPr>
          <w:rFonts w:asciiTheme="minorHAnsi" w:hAnsiTheme="minorHAnsi"/>
        </w:rPr>
        <w:t xml:space="preserve"> poticajnih</w:t>
      </w:r>
      <w:r w:rsidR="00314618">
        <w:rPr>
          <w:rFonts w:asciiTheme="minorHAnsi" w:hAnsiTheme="minorHAnsi"/>
        </w:rPr>
        <w:t xml:space="preserve"> </w:t>
      </w:r>
      <w:r w:rsidRPr="007A598F">
        <w:rPr>
          <w:rFonts w:asciiTheme="minorHAnsi" w:hAnsiTheme="minorHAnsi"/>
        </w:rPr>
        <w:t>otpremnina.</w:t>
      </w:r>
    </w:p>
    <w:p w:rsidR="001E480E" w:rsidRDefault="001E480E" w:rsidP="000F70FE">
      <w:pPr>
        <w:jc w:val="both"/>
        <w:rPr>
          <w:rFonts w:asciiTheme="minorHAnsi" w:hAnsiTheme="minorHAnsi"/>
        </w:rPr>
      </w:pPr>
    </w:p>
    <w:p w:rsidR="00200143" w:rsidRDefault="00200143" w:rsidP="000F70FE">
      <w:pPr>
        <w:jc w:val="both"/>
        <w:rPr>
          <w:rFonts w:asciiTheme="minorHAnsi" w:hAnsiTheme="minorHAnsi"/>
        </w:rPr>
      </w:pPr>
    </w:p>
    <w:p w:rsidR="00200143" w:rsidRDefault="00200143" w:rsidP="000F70FE">
      <w:pPr>
        <w:jc w:val="both"/>
        <w:rPr>
          <w:rFonts w:asciiTheme="minorHAnsi" w:hAnsiTheme="minorHAnsi"/>
        </w:rPr>
      </w:pPr>
    </w:p>
    <w:p w:rsidR="00200143" w:rsidRDefault="00200143" w:rsidP="000F70FE">
      <w:pPr>
        <w:jc w:val="both"/>
        <w:rPr>
          <w:rFonts w:asciiTheme="minorHAnsi" w:hAnsiTheme="minorHAnsi"/>
        </w:rPr>
      </w:pPr>
    </w:p>
    <w:p w:rsidR="00200143" w:rsidRDefault="00200143" w:rsidP="000F70FE">
      <w:pPr>
        <w:jc w:val="both"/>
        <w:rPr>
          <w:rFonts w:asciiTheme="minorHAnsi" w:hAnsiTheme="minorHAnsi"/>
        </w:rPr>
      </w:pPr>
    </w:p>
    <w:p w:rsidR="00200143" w:rsidRDefault="00200143" w:rsidP="000F70FE">
      <w:pPr>
        <w:jc w:val="both"/>
        <w:rPr>
          <w:rFonts w:asciiTheme="minorHAnsi" w:hAnsiTheme="minorHAnsi"/>
        </w:rPr>
      </w:pPr>
    </w:p>
    <w:p w:rsidR="00200143" w:rsidRDefault="00200143" w:rsidP="000F70FE">
      <w:pPr>
        <w:jc w:val="both"/>
        <w:rPr>
          <w:rFonts w:asciiTheme="minorHAnsi" w:hAnsiTheme="minorHAnsi"/>
        </w:rPr>
      </w:pPr>
    </w:p>
    <w:p w:rsidR="00200143" w:rsidRDefault="00200143" w:rsidP="000F70FE">
      <w:pPr>
        <w:jc w:val="both"/>
        <w:rPr>
          <w:rFonts w:asciiTheme="minorHAnsi" w:hAnsiTheme="minorHAnsi"/>
        </w:rPr>
      </w:pPr>
    </w:p>
    <w:p w:rsidR="006B4D69" w:rsidRDefault="006B4D69" w:rsidP="000F70FE">
      <w:pPr>
        <w:jc w:val="both"/>
        <w:rPr>
          <w:rFonts w:asciiTheme="minorHAnsi" w:hAnsiTheme="minorHAnsi"/>
        </w:rPr>
      </w:pPr>
    </w:p>
    <w:p w:rsidR="006B4D69" w:rsidRDefault="006B4D69" w:rsidP="000F70FE">
      <w:pPr>
        <w:jc w:val="both"/>
        <w:rPr>
          <w:rFonts w:asciiTheme="minorHAnsi" w:hAnsiTheme="minorHAnsi"/>
        </w:rPr>
      </w:pPr>
    </w:p>
    <w:p w:rsidR="006B4D69" w:rsidRDefault="006B4D69" w:rsidP="000F70FE">
      <w:pPr>
        <w:jc w:val="both"/>
        <w:rPr>
          <w:rFonts w:asciiTheme="minorHAnsi" w:hAnsiTheme="minorHAnsi"/>
        </w:rPr>
      </w:pPr>
    </w:p>
    <w:p w:rsidR="006B4D69" w:rsidRPr="007A598F" w:rsidRDefault="006B4D69" w:rsidP="000F70FE">
      <w:pPr>
        <w:jc w:val="both"/>
        <w:rPr>
          <w:rFonts w:asciiTheme="minorHAnsi" w:hAnsiTheme="minorHAnsi"/>
        </w:rPr>
      </w:pPr>
    </w:p>
    <w:p w:rsidR="003A09B6" w:rsidRPr="007A598F" w:rsidRDefault="003A09B6" w:rsidP="00B47E3F">
      <w:pPr>
        <w:pStyle w:val="Heading1"/>
        <w:numPr>
          <w:ilvl w:val="0"/>
          <w:numId w:val="6"/>
        </w:numPr>
        <w:jc w:val="both"/>
        <w:rPr>
          <w:rFonts w:ascii="Calibri" w:hAnsi="Calibri" w:cs="Calibri"/>
          <w:sz w:val="28"/>
          <w:szCs w:val="28"/>
        </w:rPr>
      </w:pPr>
      <w:bookmarkStart w:id="13" w:name="_Toc532299617"/>
      <w:r w:rsidRPr="007A598F">
        <w:rPr>
          <w:rFonts w:ascii="Calibri" w:hAnsi="Calibri" w:cs="Calibri"/>
          <w:sz w:val="28"/>
          <w:szCs w:val="28"/>
        </w:rPr>
        <w:t>OPERATIVNI CILJEVI ZA 201</w:t>
      </w:r>
      <w:r w:rsidR="00891CE9">
        <w:rPr>
          <w:rFonts w:ascii="Calibri" w:hAnsi="Calibri" w:cs="Calibri"/>
          <w:sz w:val="28"/>
          <w:szCs w:val="28"/>
        </w:rPr>
        <w:t>9</w:t>
      </w:r>
      <w:r w:rsidRPr="007A598F">
        <w:rPr>
          <w:rFonts w:ascii="Calibri" w:hAnsi="Calibri" w:cs="Calibri"/>
          <w:sz w:val="28"/>
          <w:szCs w:val="28"/>
        </w:rPr>
        <w:t xml:space="preserve">. </w:t>
      </w:r>
      <w:r w:rsidR="00B3315D">
        <w:rPr>
          <w:rFonts w:ascii="Calibri" w:hAnsi="Calibri" w:cs="Calibri"/>
          <w:sz w:val="28"/>
          <w:szCs w:val="28"/>
        </w:rPr>
        <w:t>GODINU</w:t>
      </w:r>
      <w:r w:rsidR="007A136F" w:rsidRPr="007A136F">
        <w:rPr>
          <w:rFonts w:ascii="Calibri" w:hAnsi="Calibri" w:cs="Calibri"/>
          <w:sz w:val="28"/>
          <w:szCs w:val="28"/>
        </w:rPr>
        <w:t xml:space="preserve"> </w:t>
      </w:r>
      <w:r w:rsidR="007A136F" w:rsidRPr="007A598F">
        <w:rPr>
          <w:rFonts w:ascii="Calibri" w:hAnsi="Calibri" w:cs="Calibri"/>
          <w:sz w:val="28"/>
          <w:szCs w:val="28"/>
        </w:rPr>
        <w:t>TE AKTIVNOSTI ZA OSTVARENJE ISTIH</w:t>
      </w:r>
      <w:bookmarkEnd w:id="13"/>
    </w:p>
    <w:p w:rsidR="00625587" w:rsidRPr="007A598F" w:rsidRDefault="00625587" w:rsidP="00625587"/>
    <w:p w:rsidR="00B17142" w:rsidRPr="007A598F" w:rsidRDefault="00625587" w:rsidP="00625587">
      <w:r w:rsidRPr="007A598F">
        <w:t>Temeljem Vizije i Misije</w:t>
      </w:r>
      <w:r w:rsidR="00F00E03" w:rsidRPr="007A598F">
        <w:t xml:space="preserve"> te</w:t>
      </w:r>
      <w:r w:rsidRPr="007A598F">
        <w:t xml:space="preserve"> u skladu sa Strategijom </w:t>
      </w:r>
      <w:r w:rsidR="003E1B53">
        <w:t>H</w:t>
      </w:r>
      <w:r w:rsidR="000875BB">
        <w:t xml:space="preserve">rvatske </w:t>
      </w:r>
      <w:r w:rsidR="003E1B53">
        <w:t>L</w:t>
      </w:r>
      <w:r w:rsidR="000875BB">
        <w:t>utrije</w:t>
      </w:r>
      <w:r w:rsidRPr="007A598F">
        <w:t xml:space="preserve"> za razdoblje od 201</w:t>
      </w:r>
      <w:r w:rsidR="00F00E03" w:rsidRPr="007A598F">
        <w:t>8</w:t>
      </w:r>
      <w:r w:rsidRPr="007A598F">
        <w:t>. do 20</w:t>
      </w:r>
      <w:r w:rsidR="00F00E03" w:rsidRPr="007A598F">
        <w:t>22</w:t>
      </w:r>
      <w:r w:rsidRPr="007A598F">
        <w:t xml:space="preserve">. godine, definirani su sljedeći </w:t>
      </w:r>
      <w:r w:rsidR="00F00E03" w:rsidRPr="007A598F">
        <w:t>operativni</w:t>
      </w:r>
      <w:r w:rsidRPr="007A598F">
        <w:t xml:space="preserve"> ciljevi za 201</w:t>
      </w:r>
      <w:r w:rsidR="00891CE9">
        <w:t>9</w:t>
      </w:r>
      <w:r w:rsidRPr="007A598F">
        <w:t>. godinu:</w:t>
      </w:r>
    </w:p>
    <w:p w:rsidR="00625587" w:rsidRPr="007A598F" w:rsidRDefault="00625587" w:rsidP="00B47E3F">
      <w:pPr>
        <w:pStyle w:val="ListParagraph"/>
        <w:numPr>
          <w:ilvl w:val="0"/>
          <w:numId w:val="7"/>
        </w:numPr>
        <w:ind w:left="360"/>
      </w:pPr>
      <w:r w:rsidRPr="007A598F">
        <w:t>Ostvarenje planiranih prometa i prihoda</w:t>
      </w:r>
    </w:p>
    <w:p w:rsidR="00B17142" w:rsidRPr="007A598F" w:rsidRDefault="00B17142" w:rsidP="00B47E3F">
      <w:pPr>
        <w:pStyle w:val="ListParagraph"/>
        <w:numPr>
          <w:ilvl w:val="0"/>
          <w:numId w:val="7"/>
        </w:numPr>
        <w:ind w:left="360"/>
      </w:pPr>
      <w:r w:rsidRPr="007A598F">
        <w:t>Povećanje broja aktivnih igrača te njihove potrošnje</w:t>
      </w:r>
    </w:p>
    <w:p w:rsidR="00B17142" w:rsidRPr="007A598F" w:rsidRDefault="00625587" w:rsidP="00B47E3F">
      <w:pPr>
        <w:pStyle w:val="ListParagraph"/>
        <w:numPr>
          <w:ilvl w:val="0"/>
          <w:numId w:val="7"/>
        </w:numPr>
        <w:ind w:left="360"/>
      </w:pPr>
      <w:r w:rsidRPr="007A598F">
        <w:t>Optimiranje postojećeg portfelja lutrijskih igara na sreću</w:t>
      </w:r>
    </w:p>
    <w:p w:rsidR="00B17142" w:rsidRPr="007A598F" w:rsidRDefault="00625587" w:rsidP="00B47E3F">
      <w:pPr>
        <w:pStyle w:val="ListParagraph"/>
        <w:numPr>
          <w:ilvl w:val="0"/>
          <w:numId w:val="7"/>
        </w:numPr>
        <w:ind w:left="360"/>
      </w:pPr>
      <w:r w:rsidRPr="007A598F">
        <w:t>Povećanje  udjela u ukupnom tržištu klađenja</w:t>
      </w:r>
    </w:p>
    <w:p w:rsidR="00B17142" w:rsidRPr="007A598F" w:rsidRDefault="00BE50E9" w:rsidP="00B47E3F">
      <w:pPr>
        <w:pStyle w:val="ListParagraph"/>
        <w:numPr>
          <w:ilvl w:val="0"/>
          <w:numId w:val="7"/>
        </w:numPr>
        <w:ind w:left="360"/>
      </w:pPr>
      <w:r w:rsidRPr="007A598F">
        <w:t>Povećanje</w:t>
      </w:r>
      <w:r w:rsidR="00314618">
        <w:t>/zadržavanje prihoda i</w:t>
      </w:r>
      <w:r w:rsidRPr="007A598F">
        <w:t xml:space="preserve">  udjela u ukupnom tržištu </w:t>
      </w:r>
      <w:r w:rsidR="00625587" w:rsidRPr="007A598F">
        <w:t>Internet casina</w:t>
      </w:r>
    </w:p>
    <w:p w:rsidR="00B17142" w:rsidRPr="007A598F" w:rsidRDefault="00DF30C8" w:rsidP="00B47E3F">
      <w:pPr>
        <w:pStyle w:val="ListParagraph"/>
        <w:numPr>
          <w:ilvl w:val="0"/>
          <w:numId w:val="7"/>
        </w:numPr>
        <w:ind w:left="360"/>
      </w:pPr>
      <w:r w:rsidRPr="007A598F">
        <w:t>Proširenje mreže automat klubova</w:t>
      </w:r>
    </w:p>
    <w:p w:rsidR="00B17142" w:rsidRPr="007A598F" w:rsidRDefault="0086490C" w:rsidP="00B47E3F">
      <w:pPr>
        <w:pStyle w:val="ListParagraph"/>
        <w:numPr>
          <w:ilvl w:val="0"/>
          <w:numId w:val="7"/>
        </w:numPr>
        <w:ind w:left="360"/>
      </w:pPr>
      <w:r w:rsidRPr="007A598F">
        <w:t>Jači marketinški fokus</w:t>
      </w:r>
      <w:r w:rsidR="00625587" w:rsidRPr="007A598F">
        <w:t xml:space="preserve"> u realizaciji projekata iz područja razvoja igara i prodaje</w:t>
      </w:r>
    </w:p>
    <w:p w:rsidR="00B17142" w:rsidRPr="007A598F" w:rsidRDefault="00625587" w:rsidP="00B47E3F">
      <w:pPr>
        <w:pStyle w:val="ListParagraph"/>
        <w:numPr>
          <w:ilvl w:val="0"/>
          <w:numId w:val="7"/>
        </w:numPr>
        <w:ind w:left="360"/>
      </w:pPr>
      <w:r w:rsidRPr="007A598F">
        <w:t>IT modernizacija i podrška kod implementacije poslovnih rješenja</w:t>
      </w:r>
    </w:p>
    <w:p w:rsidR="00B17142" w:rsidRPr="007A598F" w:rsidRDefault="001B55F2" w:rsidP="00B47E3F">
      <w:pPr>
        <w:pStyle w:val="ListParagraph"/>
        <w:numPr>
          <w:ilvl w:val="0"/>
          <w:numId w:val="7"/>
        </w:numPr>
        <w:ind w:left="360"/>
      </w:pPr>
      <w:r w:rsidRPr="007A598F">
        <w:t>Optimizacija poslovnih procesa</w:t>
      </w:r>
    </w:p>
    <w:p w:rsidR="00B17142" w:rsidRPr="007A598F" w:rsidRDefault="00625587" w:rsidP="00B47E3F">
      <w:pPr>
        <w:pStyle w:val="ListParagraph"/>
        <w:numPr>
          <w:ilvl w:val="0"/>
          <w:numId w:val="7"/>
        </w:numPr>
        <w:ind w:left="360"/>
      </w:pPr>
      <w:r w:rsidRPr="007A598F">
        <w:t>Unaprjeđenje sustava financijskog upravljanja i kontrola</w:t>
      </w:r>
    </w:p>
    <w:p w:rsidR="00B17142" w:rsidRPr="007A598F" w:rsidRDefault="00625587" w:rsidP="00B47E3F">
      <w:pPr>
        <w:pStyle w:val="ListParagraph"/>
        <w:numPr>
          <w:ilvl w:val="0"/>
          <w:numId w:val="7"/>
        </w:numPr>
        <w:ind w:left="360"/>
      </w:pPr>
      <w:r w:rsidRPr="007A598F">
        <w:t>Unaprjeđenje procesa upravljanja ljudskim potencijalima i njihovim razvojem</w:t>
      </w:r>
    </w:p>
    <w:p w:rsidR="00B17142" w:rsidRPr="007A598F" w:rsidRDefault="00891CE9" w:rsidP="00B47E3F">
      <w:pPr>
        <w:pStyle w:val="ListParagraph"/>
        <w:numPr>
          <w:ilvl w:val="0"/>
          <w:numId w:val="7"/>
        </w:numPr>
        <w:ind w:left="360"/>
      </w:pPr>
      <w:r>
        <w:t>Društveno odgovorno poslovanje</w:t>
      </w:r>
      <w:r w:rsidR="00E91F4E" w:rsidRPr="007A598F">
        <w:t xml:space="preserve"> (</w:t>
      </w:r>
      <w:r>
        <w:t>DOP</w:t>
      </w:r>
      <w:r w:rsidR="00E91F4E" w:rsidRPr="007A598F">
        <w:t>)</w:t>
      </w:r>
    </w:p>
    <w:p w:rsidR="00DD72F8" w:rsidRPr="007A598F" w:rsidRDefault="007A136F" w:rsidP="007A136F">
      <w:pPr>
        <w:pStyle w:val="Heading1"/>
        <w:numPr>
          <w:ilvl w:val="1"/>
          <w:numId w:val="37"/>
        </w:numPr>
        <w:jc w:val="both"/>
        <w:rPr>
          <w:rFonts w:ascii="Calibri" w:hAnsi="Calibri" w:cs="Calibri"/>
          <w:sz w:val="28"/>
          <w:szCs w:val="28"/>
        </w:rPr>
      </w:pPr>
      <w:bookmarkStart w:id="14" w:name="_Toc532299618"/>
      <w:r w:rsidRPr="007A598F">
        <w:rPr>
          <w:rFonts w:ascii="Calibri" w:hAnsi="Calibri" w:cs="Calibri"/>
          <w:sz w:val="28"/>
          <w:szCs w:val="28"/>
        </w:rPr>
        <w:lastRenderedPageBreak/>
        <w:t>Ostvarenje planiranih prometa i prihoda</w:t>
      </w:r>
      <w:bookmarkEnd w:id="14"/>
    </w:p>
    <w:p w:rsidR="005B2E02" w:rsidRPr="005B2E02" w:rsidRDefault="00DD72F8" w:rsidP="00DD72F8">
      <w:pPr>
        <w:tabs>
          <w:tab w:val="right" w:pos="-3261"/>
          <w:tab w:val="left" w:pos="142"/>
          <w:tab w:val="right" w:pos="8364"/>
        </w:tabs>
        <w:ind w:left="-142"/>
        <w:jc w:val="both"/>
      </w:pPr>
      <w:r w:rsidRPr="005B2E02">
        <w:t>Ostvarenje planiranih prometa i prihoda osigurati će se kroz povećanje prodajnih i marketinških aktiv</w:t>
      </w:r>
      <w:r w:rsidR="005B2E02" w:rsidRPr="005B2E02">
        <w:t>nosti, bogatiju prodajnu ponudu te</w:t>
      </w:r>
      <w:r w:rsidRPr="005B2E02">
        <w:t xml:space="preserve"> povećanu dostupnost i vidl</w:t>
      </w:r>
      <w:r w:rsidR="005B2E02" w:rsidRPr="005B2E02">
        <w:t>jivost po svim kanalima prodaje.</w:t>
      </w:r>
    </w:p>
    <w:p w:rsidR="009440E6" w:rsidRPr="005B2E02" w:rsidRDefault="000875BB" w:rsidP="009440E6">
      <w:pPr>
        <w:tabs>
          <w:tab w:val="right" w:pos="-3261"/>
          <w:tab w:val="left" w:pos="142"/>
          <w:tab w:val="right" w:pos="8364"/>
        </w:tabs>
        <w:ind w:left="-142"/>
        <w:jc w:val="both"/>
        <w:rPr>
          <w:rFonts w:cs="Calibri"/>
        </w:rPr>
      </w:pPr>
      <w:r>
        <w:rPr>
          <w:rFonts w:cs="Calibri"/>
        </w:rPr>
        <w:t>Hrvatska Lutrija</w:t>
      </w:r>
      <w:r w:rsidR="00A074FC" w:rsidRPr="005B2E02">
        <w:rPr>
          <w:rFonts w:cs="Calibri"/>
        </w:rPr>
        <w:t xml:space="preserve"> </w:t>
      </w:r>
      <w:r w:rsidR="00314618" w:rsidRPr="005B2E02">
        <w:rPr>
          <w:rFonts w:cs="Calibri"/>
        </w:rPr>
        <w:t>je</w:t>
      </w:r>
      <w:r w:rsidR="009440E6" w:rsidRPr="005B2E02">
        <w:rPr>
          <w:rFonts w:cs="Calibri"/>
        </w:rPr>
        <w:t xml:space="preserve"> strateški</w:t>
      </w:r>
      <w:r w:rsidR="00314618" w:rsidRPr="005B2E02">
        <w:rPr>
          <w:rFonts w:cs="Calibri"/>
        </w:rPr>
        <w:t xml:space="preserve"> </w:t>
      </w:r>
      <w:r w:rsidR="009440E6" w:rsidRPr="005B2E02">
        <w:rPr>
          <w:rFonts w:cs="Calibri"/>
        </w:rPr>
        <w:t>posvećena razvoju postojećih i otvaranju novih kanala prodaje. Digitalizacijom portfelja ostvaren je značajan iskorak na interaktivnim kanalima, ali i dalje je prisutan značaj klasične prodajne mreže.</w:t>
      </w:r>
    </w:p>
    <w:p w:rsidR="005B2E02" w:rsidRPr="003B3868" w:rsidRDefault="005B2E02" w:rsidP="009440E6">
      <w:pPr>
        <w:tabs>
          <w:tab w:val="right" w:pos="-3261"/>
          <w:tab w:val="left" w:pos="142"/>
          <w:tab w:val="right" w:pos="8364"/>
        </w:tabs>
        <w:ind w:left="-142"/>
        <w:jc w:val="both"/>
        <w:rPr>
          <w:highlight w:val="yellow"/>
        </w:rPr>
      </w:pPr>
      <w:r w:rsidRPr="005B2E02">
        <w:t>Obzirom na veliki broj prodajnih mjesta Hrvatske Lutrije, kako vlastitih tako i prodajnih mjesta u poslovnoj suradnji, a koji se razlikuju prema kvadraturi, tlocrtu i ponudi, potrebno je redizajnirati prodajno mjesto i oblikovati prepoznatljiv i funkcionalan identitet. Novi dizajn i standardizacija prodajnih mjesta kroz eksterijer i interijer će slijediti modernizaciju vizualnog identiteta Hrvatske Lutrije s ciljem definiranja i implementacije oblikovnih standarda koji će korisnicima biti prepoznatljivi.</w:t>
      </w:r>
    </w:p>
    <w:p w:rsidR="006B6FAE" w:rsidRDefault="00DD72F8" w:rsidP="00DD72F8">
      <w:pPr>
        <w:tabs>
          <w:tab w:val="right" w:pos="-3261"/>
          <w:tab w:val="left" w:pos="142"/>
          <w:tab w:val="right" w:pos="8364"/>
        </w:tabs>
        <w:ind w:left="-142"/>
        <w:jc w:val="both"/>
      </w:pPr>
      <w:r w:rsidRPr="006B6FAE">
        <w:t>Na vlastitim prodajnim mjestima, povećanje prometa i prihoda očekuje se ostvariti kroz</w:t>
      </w:r>
      <w:r w:rsidR="0015108C">
        <w:t>:</w:t>
      </w:r>
      <w:r w:rsidRPr="006B6FAE">
        <w:t xml:space="preserve"> </w:t>
      </w:r>
    </w:p>
    <w:p w:rsidR="006B6FAE" w:rsidRDefault="0015108C" w:rsidP="00B47E3F">
      <w:pPr>
        <w:pStyle w:val="ListParagraph"/>
        <w:numPr>
          <w:ilvl w:val="0"/>
          <w:numId w:val="27"/>
        </w:numPr>
        <w:tabs>
          <w:tab w:val="right" w:pos="-3261"/>
          <w:tab w:val="left" w:pos="142"/>
          <w:tab w:val="right" w:pos="8364"/>
        </w:tabs>
        <w:jc w:val="both"/>
      </w:pPr>
      <w:r>
        <w:t>E</w:t>
      </w:r>
      <w:r w:rsidR="006B6FAE">
        <w:t xml:space="preserve">dukaciju </w:t>
      </w:r>
      <w:r w:rsidR="009343CC">
        <w:t>interne</w:t>
      </w:r>
      <w:r w:rsidR="006B6FAE" w:rsidRPr="006B6FAE">
        <w:t xml:space="preserve"> prodajne mreže provedbom E-learning (LMS) sustava, digitalizacijom edukati</w:t>
      </w:r>
      <w:r w:rsidR="006B6FAE">
        <w:t>vnog sadržaja, te centralizacijom</w:t>
      </w:r>
      <w:r w:rsidR="006B6FAE" w:rsidRPr="006B6FAE">
        <w:t xml:space="preserve"> znanja. </w:t>
      </w:r>
    </w:p>
    <w:p w:rsidR="006B6FAE" w:rsidRDefault="006B6FAE" w:rsidP="00B47E3F">
      <w:pPr>
        <w:pStyle w:val="ListParagraph"/>
        <w:numPr>
          <w:ilvl w:val="0"/>
          <w:numId w:val="27"/>
        </w:numPr>
        <w:tabs>
          <w:tab w:val="right" w:pos="-3261"/>
          <w:tab w:val="left" w:pos="142"/>
          <w:tab w:val="right" w:pos="8364"/>
        </w:tabs>
        <w:jc w:val="both"/>
      </w:pPr>
      <w:r>
        <w:t xml:space="preserve">Jasnim postavljanjem </w:t>
      </w:r>
      <w:r w:rsidRPr="006B6FAE">
        <w:t xml:space="preserve">mjerljivih ciljeva prodajnih mjesta. </w:t>
      </w:r>
    </w:p>
    <w:p w:rsidR="006B6FAE" w:rsidRDefault="006B6FAE" w:rsidP="00B47E3F">
      <w:pPr>
        <w:pStyle w:val="ListParagraph"/>
        <w:numPr>
          <w:ilvl w:val="0"/>
          <w:numId w:val="27"/>
        </w:numPr>
        <w:tabs>
          <w:tab w:val="right" w:pos="-3261"/>
          <w:tab w:val="left" w:pos="142"/>
          <w:tab w:val="right" w:pos="8364"/>
        </w:tabs>
        <w:jc w:val="both"/>
      </w:pPr>
      <w:r w:rsidRPr="006B6FAE">
        <w:t>Definiranje</w:t>
      </w:r>
      <w:r>
        <w:t>m</w:t>
      </w:r>
      <w:r w:rsidRPr="006B6FAE">
        <w:t xml:space="preserve"> novog modela stimulacija prodavača prema jasno postavljenim i mjerljivim ciljevima. </w:t>
      </w:r>
    </w:p>
    <w:p w:rsidR="0015108C" w:rsidRDefault="006B6FAE" w:rsidP="00B47E3F">
      <w:pPr>
        <w:pStyle w:val="ListParagraph"/>
        <w:numPr>
          <w:ilvl w:val="0"/>
          <w:numId w:val="27"/>
        </w:numPr>
        <w:tabs>
          <w:tab w:val="right" w:pos="-3261"/>
          <w:tab w:val="left" w:pos="142"/>
          <w:tab w:val="right" w:pos="8364"/>
        </w:tabs>
        <w:jc w:val="both"/>
      </w:pPr>
      <w:r w:rsidRPr="006B6FAE">
        <w:t xml:space="preserve">Provođenjem prodajnih akcija uz motivaciju prodavača i nagrađivanje izvrsnosti. </w:t>
      </w:r>
    </w:p>
    <w:p w:rsidR="0015108C" w:rsidRDefault="0015108C" w:rsidP="00B47E3F">
      <w:pPr>
        <w:pStyle w:val="ListParagraph"/>
        <w:numPr>
          <w:ilvl w:val="0"/>
          <w:numId w:val="27"/>
        </w:numPr>
        <w:tabs>
          <w:tab w:val="right" w:pos="-3261"/>
          <w:tab w:val="left" w:pos="142"/>
          <w:tab w:val="right" w:pos="8364"/>
        </w:tabs>
        <w:jc w:val="both"/>
      </w:pPr>
      <w:r w:rsidRPr="006B6FAE">
        <w:t>Optimiziranje vlastite prodajne mreže na temelju kontinuiranog praćenja rentabilnosti prodajnih mjesta, te repozicioniranje prema potrebi i otvaranje novih prodajnih mjesta</w:t>
      </w:r>
    </w:p>
    <w:p w:rsidR="0015108C" w:rsidRDefault="0015108C" w:rsidP="00B47E3F">
      <w:pPr>
        <w:pStyle w:val="ListParagraph"/>
        <w:numPr>
          <w:ilvl w:val="0"/>
          <w:numId w:val="27"/>
        </w:numPr>
        <w:tabs>
          <w:tab w:val="right" w:pos="-3261"/>
          <w:tab w:val="left" w:pos="142"/>
          <w:tab w:val="right" w:pos="8364"/>
        </w:tabs>
        <w:jc w:val="both"/>
      </w:pPr>
      <w:r w:rsidRPr="006B6FAE">
        <w:t>Unapr</w:t>
      </w:r>
      <w:r>
        <w:t>j</w:t>
      </w:r>
      <w:r w:rsidRPr="006B6FAE">
        <w:t>eđenje postojećih tehnoloških rješenja na prodajnim mjestima.</w:t>
      </w:r>
    </w:p>
    <w:p w:rsidR="00DD72F8" w:rsidRPr="006B6FAE" w:rsidRDefault="006B6FAE" w:rsidP="0015108C">
      <w:pPr>
        <w:tabs>
          <w:tab w:val="right" w:pos="-3261"/>
          <w:tab w:val="left" w:pos="142"/>
          <w:tab w:val="right" w:pos="8364"/>
        </w:tabs>
        <w:ind w:left="218"/>
        <w:jc w:val="both"/>
      </w:pPr>
      <w:r w:rsidRPr="006B6FAE">
        <w:t>Kontinuiranim usvaja</w:t>
      </w:r>
      <w:r w:rsidR="0015108C">
        <w:t>njem znanja, prodajnih vještin</w:t>
      </w:r>
      <w:r w:rsidRPr="006B6FAE">
        <w:t>a i motivacijom prodavača utječe se na aktivnu prodaju na prodajnim mjestima H</w:t>
      </w:r>
      <w:r w:rsidR="000875BB">
        <w:t xml:space="preserve">rvatske </w:t>
      </w:r>
      <w:r w:rsidRPr="006B6FAE">
        <w:t>L</w:t>
      </w:r>
      <w:r w:rsidR="000875BB">
        <w:t>utrije</w:t>
      </w:r>
      <w:r w:rsidRPr="006B6FAE">
        <w:t xml:space="preserve">.  Kontinuiranom analizom igara i igrača te ciljanim promotivnim aktivnostima </w:t>
      </w:r>
      <w:r w:rsidR="0015108C">
        <w:t xml:space="preserve">planiramo </w:t>
      </w:r>
      <w:r w:rsidRPr="006B6FAE">
        <w:t>povećati promet i prihod, te akvizirati nove igrače</w:t>
      </w:r>
      <w:r w:rsidR="0015108C">
        <w:t>.</w:t>
      </w:r>
    </w:p>
    <w:p w:rsidR="0015108C" w:rsidRDefault="00DD72F8" w:rsidP="0015108C">
      <w:pPr>
        <w:tabs>
          <w:tab w:val="right" w:pos="-3261"/>
          <w:tab w:val="left" w:pos="142"/>
          <w:tab w:val="right" w:pos="8364"/>
        </w:tabs>
        <w:ind w:left="-142"/>
        <w:jc w:val="both"/>
      </w:pPr>
      <w:r w:rsidRPr="0015108C">
        <w:t xml:space="preserve">Na prodajnim mjestima poslovne suradnje, </w:t>
      </w:r>
      <w:r w:rsidR="0015108C" w:rsidRPr="0015108C">
        <w:t xml:space="preserve">povećanje prometa i prihoda očekujemo ostvariti kroz </w:t>
      </w:r>
      <w:r w:rsidR="0015108C">
        <w:t xml:space="preserve"> u</w:t>
      </w:r>
      <w:r w:rsidR="0015108C" w:rsidRPr="0015108C">
        <w:t xml:space="preserve">napređenje prodajne mreže poslovne suradnje </w:t>
      </w:r>
      <w:r w:rsidR="0015108C">
        <w:t>putem ugovaranja novih suradnji, optimizacijom poslovanja</w:t>
      </w:r>
      <w:r w:rsidR="0015108C" w:rsidRPr="0015108C">
        <w:t>, te proširenje</w:t>
      </w:r>
      <w:r w:rsidR="0015108C">
        <w:t>m</w:t>
      </w:r>
      <w:r w:rsidR="0015108C" w:rsidRPr="0015108C">
        <w:t xml:space="preserve">  broja  lokacija kod </w:t>
      </w:r>
      <w:r w:rsidR="0015108C">
        <w:t xml:space="preserve">postojećih partnera. U planu je </w:t>
      </w:r>
      <w:r w:rsidR="0015108C" w:rsidRPr="0015108C">
        <w:t>otvaranj</w:t>
      </w:r>
      <w:r w:rsidR="0015108C">
        <w:t>e</w:t>
      </w:r>
      <w:r w:rsidR="0015108C" w:rsidRPr="0015108C">
        <w:t xml:space="preserve"> 64 prodajna mjesta sa HL Terminalom. Na lokacijama sa HL terminalom osigurat će se praćenje učinkovitosti zaposlenika što  će utjecati na ostvarenje zadanih ciljeva. Na 95 lokacija </w:t>
      </w:r>
      <w:r w:rsidR="0015108C">
        <w:t xml:space="preserve">planiramo </w:t>
      </w:r>
      <w:r w:rsidR="0015108C" w:rsidRPr="0015108C">
        <w:t xml:space="preserve">uvođenje "Moje igre" koja će omogućiti veći broj transakcija i povećanje prometa. Dodatnim marketinškim aktivnostima,   promocijama,  koje će se provoditi tijekom cijele godine (aktivna prodaja lutrijskih igara i srećaka, banneri, pozicioniranje dispenzera) </w:t>
      </w:r>
      <w:r w:rsidR="0015108C">
        <w:t>planiramo privući</w:t>
      </w:r>
      <w:r w:rsidR="0015108C" w:rsidRPr="0015108C">
        <w:t xml:space="preserve"> nov</w:t>
      </w:r>
      <w:r w:rsidR="0015108C">
        <w:t>e</w:t>
      </w:r>
      <w:r w:rsidR="0015108C" w:rsidRPr="0015108C">
        <w:t xml:space="preserve"> igrač</w:t>
      </w:r>
      <w:r w:rsidR="0015108C">
        <w:t>e</w:t>
      </w:r>
      <w:r w:rsidR="0015108C" w:rsidRPr="0015108C">
        <w:t xml:space="preserve">. </w:t>
      </w:r>
      <w:r w:rsidR="0015108C">
        <w:t>Važan preduvjet za povećanje prometa i prihoda na prodajnim mjestima poslovne suradnje je i motivacija</w:t>
      </w:r>
      <w:r w:rsidR="0015108C" w:rsidRPr="0015108C">
        <w:t xml:space="preserve"> zaposlenik</w:t>
      </w:r>
      <w:r w:rsidR="0015108C">
        <w:t>a</w:t>
      </w:r>
      <w:r w:rsidR="0015108C" w:rsidRPr="0015108C">
        <w:t xml:space="preserve"> partnera za aktivnu prodaju. </w:t>
      </w:r>
      <w:r w:rsidR="009343CC">
        <w:t>Planiramo edukaciju eksterne</w:t>
      </w:r>
      <w:r w:rsidR="0015108C" w:rsidRPr="0015108C">
        <w:t xml:space="preserve"> prodajne mreže provedbom E-learning (LMS) sustava, digitalizacijom edukativnog sadržaja, te centralizacijom znanja.</w:t>
      </w:r>
    </w:p>
    <w:p w:rsidR="005035C6" w:rsidRPr="00B24C10" w:rsidRDefault="008C6613" w:rsidP="005035C6">
      <w:pPr>
        <w:tabs>
          <w:tab w:val="right" w:pos="-3261"/>
          <w:tab w:val="left" w:pos="142"/>
          <w:tab w:val="right" w:pos="8364"/>
        </w:tabs>
        <w:ind w:left="-142"/>
        <w:jc w:val="both"/>
        <w:rPr>
          <w:rFonts w:eastAsia="SimSun" w:cs="Calibri"/>
          <w:kern w:val="3"/>
          <w:lang w:eastAsia="en-US"/>
        </w:rPr>
      </w:pPr>
      <w:r w:rsidRPr="00B24C10">
        <w:rPr>
          <w:rFonts w:eastAsia="SimSun" w:cs="Calibri"/>
          <w:kern w:val="3"/>
          <w:lang w:eastAsia="en-US"/>
        </w:rPr>
        <w:lastRenderedPageBreak/>
        <w:t>Tijekom p</w:t>
      </w:r>
      <w:r w:rsidR="00DD72F8" w:rsidRPr="00B24C10">
        <w:rPr>
          <w:rFonts w:eastAsia="SimSun" w:cs="Calibri"/>
          <w:kern w:val="3"/>
          <w:lang w:eastAsia="en-US"/>
        </w:rPr>
        <w:t>lanira</w:t>
      </w:r>
      <w:r w:rsidRPr="00B24C10">
        <w:rPr>
          <w:rFonts w:eastAsia="SimSun" w:cs="Calibri"/>
          <w:kern w:val="3"/>
          <w:lang w:eastAsia="en-US"/>
        </w:rPr>
        <w:t>nja</w:t>
      </w:r>
      <w:r w:rsidR="00DD72F8" w:rsidRPr="00B24C10">
        <w:rPr>
          <w:rFonts w:eastAsia="SimSun" w:cs="Calibri"/>
          <w:kern w:val="3"/>
          <w:lang w:eastAsia="en-US"/>
        </w:rPr>
        <w:t xml:space="preserve"> promet</w:t>
      </w:r>
      <w:r w:rsidRPr="00B24C10">
        <w:rPr>
          <w:rFonts w:eastAsia="SimSun" w:cs="Calibri"/>
          <w:kern w:val="3"/>
          <w:lang w:eastAsia="en-US"/>
        </w:rPr>
        <w:t>a</w:t>
      </w:r>
      <w:r w:rsidR="00DD72F8" w:rsidRPr="00B24C10">
        <w:rPr>
          <w:rFonts w:eastAsia="SimSun" w:cs="Calibri"/>
          <w:kern w:val="3"/>
          <w:lang w:eastAsia="en-US"/>
        </w:rPr>
        <w:t xml:space="preserve"> i prihod</w:t>
      </w:r>
      <w:r w:rsidRPr="00B24C10">
        <w:rPr>
          <w:rFonts w:eastAsia="SimSun" w:cs="Calibri"/>
          <w:kern w:val="3"/>
          <w:lang w:eastAsia="en-US"/>
        </w:rPr>
        <w:t>a</w:t>
      </w:r>
      <w:r w:rsidR="00DD72F8" w:rsidRPr="00B24C10">
        <w:rPr>
          <w:rFonts w:eastAsia="SimSun" w:cs="Calibri"/>
          <w:kern w:val="3"/>
          <w:lang w:eastAsia="en-US"/>
        </w:rPr>
        <w:t xml:space="preserve"> od igara na sreću za 201</w:t>
      </w:r>
      <w:r w:rsidR="0015108C" w:rsidRPr="00B24C10">
        <w:rPr>
          <w:rFonts w:eastAsia="SimSun" w:cs="Calibri"/>
          <w:kern w:val="3"/>
          <w:lang w:eastAsia="en-US"/>
        </w:rPr>
        <w:t>9</w:t>
      </w:r>
      <w:r w:rsidR="00DD72F8" w:rsidRPr="00B24C10">
        <w:rPr>
          <w:rFonts w:eastAsia="SimSun" w:cs="Calibri"/>
          <w:kern w:val="3"/>
          <w:lang w:eastAsia="en-US"/>
        </w:rPr>
        <w:t>. godinu</w:t>
      </w:r>
      <w:r w:rsidRPr="00B24C10">
        <w:rPr>
          <w:rFonts w:eastAsia="SimSun" w:cs="Calibri"/>
          <w:kern w:val="3"/>
          <w:lang w:eastAsia="en-US"/>
        </w:rPr>
        <w:t>,</w:t>
      </w:r>
      <w:r w:rsidR="00DD72F8" w:rsidRPr="00B24C10">
        <w:rPr>
          <w:rFonts w:eastAsia="SimSun" w:cs="Calibri"/>
          <w:kern w:val="3"/>
          <w:lang w:eastAsia="en-US"/>
        </w:rPr>
        <w:t xml:space="preserve"> uzeti su u obzir najznačajniji ekonomski pokazatelji, kao i drugi elementi koji direktno utječu na trendove u djelatnosti priređivanja igara na sreću. </w:t>
      </w:r>
    </w:p>
    <w:p w:rsidR="005035C6" w:rsidRPr="00B24C10" w:rsidRDefault="00DD72F8" w:rsidP="005035C6">
      <w:pPr>
        <w:tabs>
          <w:tab w:val="right" w:pos="-3261"/>
          <w:tab w:val="left" w:pos="142"/>
          <w:tab w:val="right" w:pos="8364"/>
        </w:tabs>
        <w:ind w:left="-142"/>
        <w:jc w:val="both"/>
        <w:rPr>
          <w:rFonts w:eastAsia="SimSun" w:cs="Calibri"/>
          <w:kern w:val="3"/>
          <w:lang w:eastAsia="en-US"/>
        </w:rPr>
      </w:pPr>
      <w:r w:rsidRPr="00B24C10">
        <w:rPr>
          <w:rFonts w:eastAsia="SimSun" w:cs="Calibri"/>
          <w:kern w:val="3"/>
          <w:lang w:eastAsia="en-US"/>
        </w:rPr>
        <w:t xml:space="preserve">Prema </w:t>
      </w:r>
      <w:r w:rsidR="00B24C10" w:rsidRPr="00B24C10">
        <w:rPr>
          <w:rFonts w:eastAsia="SimSun" w:cs="Calibri"/>
          <w:kern w:val="3"/>
          <w:lang w:eastAsia="en-US"/>
        </w:rPr>
        <w:t>projekcijama</w:t>
      </w:r>
      <w:r w:rsidRPr="00B24C10">
        <w:rPr>
          <w:rFonts w:eastAsia="SimSun" w:cs="Calibri"/>
          <w:kern w:val="3"/>
          <w:lang w:eastAsia="en-US"/>
        </w:rPr>
        <w:t xml:space="preserve"> </w:t>
      </w:r>
      <w:r w:rsidR="00B24C10" w:rsidRPr="00B24C10">
        <w:rPr>
          <w:rFonts w:eastAsia="SimSun" w:cs="Calibri"/>
          <w:kern w:val="3"/>
          <w:lang w:eastAsia="en-US"/>
        </w:rPr>
        <w:t>Ministarstva financija</w:t>
      </w:r>
      <w:r w:rsidRPr="00B24C10">
        <w:rPr>
          <w:rFonts w:eastAsia="SimSun" w:cs="Calibri"/>
          <w:kern w:val="3"/>
          <w:lang w:eastAsia="en-US"/>
        </w:rPr>
        <w:t xml:space="preserve"> rast bruto domaćeg proizvoda (BDP) za 201</w:t>
      </w:r>
      <w:r w:rsidR="00B24C10" w:rsidRPr="00B24C10">
        <w:rPr>
          <w:rFonts w:eastAsia="SimSun" w:cs="Calibri"/>
          <w:kern w:val="3"/>
          <w:lang w:eastAsia="en-US"/>
        </w:rPr>
        <w:t>8</w:t>
      </w:r>
      <w:r w:rsidRPr="00B24C10">
        <w:rPr>
          <w:rFonts w:eastAsia="SimSun" w:cs="Calibri"/>
          <w:kern w:val="3"/>
          <w:lang w:eastAsia="en-US"/>
        </w:rPr>
        <w:t xml:space="preserve">. godinu očekuje se u iznosu od </w:t>
      </w:r>
      <w:r w:rsidR="00B24C10" w:rsidRPr="00B24C10">
        <w:rPr>
          <w:rFonts w:eastAsia="SimSun" w:cs="Calibri"/>
          <w:kern w:val="3"/>
          <w:lang w:eastAsia="en-US"/>
        </w:rPr>
        <w:t>2</w:t>
      </w:r>
      <w:r w:rsidR="005035C6" w:rsidRPr="00B24C10">
        <w:rPr>
          <w:rFonts w:eastAsia="SimSun" w:cs="Calibri"/>
          <w:kern w:val="3"/>
          <w:lang w:eastAsia="en-US"/>
        </w:rPr>
        <w:t>,</w:t>
      </w:r>
      <w:r w:rsidR="00B24C10" w:rsidRPr="00B24C10">
        <w:rPr>
          <w:rFonts w:eastAsia="SimSun" w:cs="Calibri"/>
          <w:kern w:val="3"/>
          <w:lang w:eastAsia="en-US"/>
        </w:rPr>
        <w:t>7</w:t>
      </w:r>
      <w:r w:rsidRPr="00B24C10">
        <w:rPr>
          <w:rFonts w:eastAsia="SimSun" w:cs="Calibri"/>
          <w:kern w:val="3"/>
          <w:lang w:eastAsia="en-US"/>
        </w:rPr>
        <w:t>%, a rast BDP-a u 201</w:t>
      </w:r>
      <w:r w:rsidR="00B24C10" w:rsidRPr="00B24C10">
        <w:rPr>
          <w:rFonts w:eastAsia="SimSun" w:cs="Calibri"/>
          <w:kern w:val="3"/>
          <w:lang w:eastAsia="en-US"/>
        </w:rPr>
        <w:t>9</w:t>
      </w:r>
      <w:r w:rsidRPr="00B24C10">
        <w:rPr>
          <w:rFonts w:eastAsia="SimSun" w:cs="Calibri"/>
          <w:kern w:val="3"/>
          <w:lang w:eastAsia="en-US"/>
        </w:rPr>
        <w:t xml:space="preserve">. godini procjenjuje se na </w:t>
      </w:r>
      <w:r w:rsidR="00B24C10" w:rsidRPr="00B24C10">
        <w:rPr>
          <w:rFonts w:eastAsia="SimSun" w:cs="Calibri"/>
          <w:kern w:val="3"/>
          <w:lang w:eastAsia="en-US"/>
        </w:rPr>
        <w:t>2</w:t>
      </w:r>
      <w:r w:rsidRPr="00B24C10">
        <w:rPr>
          <w:rFonts w:eastAsia="SimSun" w:cs="Calibri"/>
          <w:kern w:val="3"/>
          <w:lang w:eastAsia="en-US"/>
        </w:rPr>
        <w:t>,</w:t>
      </w:r>
      <w:r w:rsidR="00B24C10" w:rsidRPr="00B24C10">
        <w:rPr>
          <w:rFonts w:eastAsia="SimSun" w:cs="Calibri"/>
          <w:kern w:val="3"/>
          <w:lang w:eastAsia="en-US"/>
        </w:rPr>
        <w:t>9</w:t>
      </w:r>
      <w:r w:rsidRPr="00B24C10">
        <w:rPr>
          <w:rFonts w:eastAsia="SimSun" w:cs="Calibri"/>
          <w:kern w:val="3"/>
          <w:lang w:eastAsia="en-US"/>
        </w:rPr>
        <w:t>%.</w:t>
      </w:r>
    </w:p>
    <w:p w:rsidR="005035C6" w:rsidRPr="00CB31BF" w:rsidRDefault="00DD72F8" w:rsidP="005035C6">
      <w:pPr>
        <w:tabs>
          <w:tab w:val="right" w:pos="-3261"/>
          <w:tab w:val="left" w:pos="142"/>
          <w:tab w:val="right" w:pos="8364"/>
        </w:tabs>
        <w:ind w:left="-142"/>
        <w:jc w:val="both"/>
        <w:rPr>
          <w:rFonts w:eastAsia="SimSun" w:cs="Calibri"/>
          <w:kern w:val="3"/>
          <w:lang w:eastAsia="en-US"/>
        </w:rPr>
      </w:pPr>
      <w:r w:rsidRPr="00CB31BF">
        <w:rPr>
          <w:rFonts w:eastAsia="SimSun" w:cs="Calibri"/>
          <w:kern w:val="3"/>
          <w:lang w:eastAsia="en-US"/>
        </w:rPr>
        <w:t xml:space="preserve">U narednom razdoblju </w:t>
      </w:r>
      <w:r w:rsidR="000875BB">
        <w:rPr>
          <w:rFonts w:eastAsia="SimSun" w:cs="Calibri"/>
          <w:kern w:val="3"/>
          <w:lang w:eastAsia="en-US"/>
        </w:rPr>
        <w:t>Hrvatska Lutrija</w:t>
      </w:r>
      <w:r w:rsidRPr="00CB31BF">
        <w:rPr>
          <w:rFonts w:eastAsia="SimSun" w:cs="Calibri"/>
          <w:kern w:val="3"/>
          <w:lang w:eastAsia="en-US"/>
        </w:rPr>
        <w:t xml:space="preserve"> planira, sukladno inicijativama strategije, prići realizaciji strateških projekata s ciljem povećanja efikasnosti i unaprjeđenja tržišnog potencijala te ostvarenja novih prometa i prihoda. </w:t>
      </w:r>
    </w:p>
    <w:p w:rsidR="005035C6" w:rsidRPr="003B3868" w:rsidRDefault="00DD72F8" w:rsidP="005035C6">
      <w:pPr>
        <w:tabs>
          <w:tab w:val="right" w:pos="-3261"/>
          <w:tab w:val="left" w:pos="142"/>
          <w:tab w:val="right" w:pos="8364"/>
        </w:tabs>
        <w:ind w:left="-142"/>
        <w:jc w:val="both"/>
        <w:rPr>
          <w:rFonts w:eastAsia="SimSun" w:cs="Calibri"/>
          <w:kern w:val="3"/>
          <w:highlight w:val="yellow"/>
          <w:lang w:eastAsia="en-US"/>
        </w:rPr>
      </w:pPr>
      <w:r w:rsidRPr="009A368B">
        <w:rPr>
          <w:rFonts w:eastAsia="SimSun" w:cs="Calibri"/>
          <w:kern w:val="3"/>
          <w:lang w:eastAsia="en-US"/>
        </w:rPr>
        <w:t>U 201</w:t>
      </w:r>
      <w:r w:rsidR="009A368B" w:rsidRPr="009A368B">
        <w:rPr>
          <w:rFonts w:eastAsia="SimSun" w:cs="Calibri"/>
          <w:kern w:val="3"/>
          <w:lang w:eastAsia="en-US"/>
        </w:rPr>
        <w:t>9</w:t>
      </w:r>
      <w:r w:rsidRPr="009A368B">
        <w:rPr>
          <w:rFonts w:eastAsia="SimSun" w:cs="Calibri"/>
          <w:kern w:val="3"/>
          <w:lang w:eastAsia="en-US"/>
        </w:rPr>
        <w:t xml:space="preserve">. godini očekuje se porast prometa u segmentu lutrijskih igara </w:t>
      </w:r>
      <w:r w:rsidR="009A368B" w:rsidRPr="009A368B">
        <w:rPr>
          <w:rFonts w:eastAsia="SimSun" w:cs="Calibri"/>
          <w:kern w:val="3"/>
          <w:lang w:eastAsia="en-US"/>
        </w:rPr>
        <w:t>za 9</w:t>
      </w:r>
      <w:r w:rsidRPr="009A368B">
        <w:rPr>
          <w:rFonts w:eastAsia="SimSun" w:cs="Calibri"/>
          <w:kern w:val="3"/>
          <w:lang w:eastAsia="en-US"/>
        </w:rPr>
        <w:t>,</w:t>
      </w:r>
      <w:r w:rsidR="009A368B" w:rsidRPr="009A368B">
        <w:rPr>
          <w:rFonts w:eastAsia="SimSun" w:cs="Calibri"/>
          <w:kern w:val="3"/>
          <w:lang w:eastAsia="en-US"/>
        </w:rPr>
        <w:t>32</w:t>
      </w:r>
      <w:r w:rsidRPr="009A368B">
        <w:rPr>
          <w:rFonts w:eastAsia="SimSun" w:cs="Calibri"/>
          <w:kern w:val="3"/>
          <w:lang w:eastAsia="en-US"/>
        </w:rPr>
        <w:t>%, u se</w:t>
      </w:r>
      <w:r w:rsidR="009A368B" w:rsidRPr="009A368B">
        <w:rPr>
          <w:rFonts w:eastAsia="SimSun" w:cs="Calibri"/>
          <w:kern w:val="3"/>
          <w:lang w:eastAsia="en-US"/>
        </w:rPr>
        <w:t>gmentu klađenja planira se rast</w:t>
      </w:r>
      <w:r w:rsidRPr="009A368B">
        <w:rPr>
          <w:rFonts w:eastAsia="SimSun" w:cs="Calibri"/>
          <w:kern w:val="3"/>
          <w:lang w:eastAsia="en-US"/>
        </w:rPr>
        <w:t xml:space="preserve"> prometa za </w:t>
      </w:r>
      <w:r w:rsidR="009A368B" w:rsidRPr="009A368B">
        <w:rPr>
          <w:rFonts w:eastAsia="SimSun" w:cs="Calibri"/>
          <w:kern w:val="3"/>
          <w:lang w:eastAsia="en-US"/>
        </w:rPr>
        <w:t>4</w:t>
      </w:r>
      <w:r w:rsidRPr="009A368B">
        <w:rPr>
          <w:rFonts w:eastAsia="SimSun" w:cs="Calibri"/>
          <w:kern w:val="3"/>
          <w:lang w:eastAsia="en-US"/>
        </w:rPr>
        <w:t>,</w:t>
      </w:r>
      <w:r w:rsidR="009A368B" w:rsidRPr="009A368B">
        <w:rPr>
          <w:rFonts w:eastAsia="SimSun" w:cs="Calibri"/>
          <w:kern w:val="3"/>
          <w:lang w:eastAsia="en-US"/>
        </w:rPr>
        <w:t>90</w:t>
      </w:r>
      <w:r w:rsidR="009A368B">
        <w:rPr>
          <w:rFonts w:eastAsia="SimSun" w:cs="Calibri"/>
          <w:kern w:val="3"/>
          <w:lang w:eastAsia="en-US"/>
        </w:rPr>
        <w:t xml:space="preserve">%, tako da planirano povećanje </w:t>
      </w:r>
      <w:r w:rsidRPr="009A368B">
        <w:rPr>
          <w:rFonts w:eastAsia="SimSun" w:cs="Calibri"/>
          <w:kern w:val="3"/>
          <w:lang w:eastAsia="en-US"/>
        </w:rPr>
        <w:t>u oba segmenta iznosi 7,</w:t>
      </w:r>
      <w:r w:rsidR="009A368B" w:rsidRPr="009A368B">
        <w:rPr>
          <w:rFonts w:eastAsia="SimSun" w:cs="Calibri"/>
          <w:kern w:val="3"/>
          <w:lang w:eastAsia="en-US"/>
        </w:rPr>
        <w:t>53</w:t>
      </w:r>
      <w:r w:rsidRPr="009A368B">
        <w:rPr>
          <w:rFonts w:eastAsia="SimSun" w:cs="Calibri"/>
          <w:kern w:val="3"/>
          <w:lang w:eastAsia="en-US"/>
        </w:rPr>
        <w:t>% u odnosu na procijenjene  promete za 201</w:t>
      </w:r>
      <w:r w:rsidR="009A368B" w:rsidRPr="009A368B">
        <w:rPr>
          <w:rFonts w:eastAsia="SimSun" w:cs="Calibri"/>
          <w:kern w:val="3"/>
          <w:lang w:eastAsia="en-US"/>
        </w:rPr>
        <w:t>8</w:t>
      </w:r>
      <w:r w:rsidRPr="009A368B">
        <w:rPr>
          <w:rFonts w:eastAsia="SimSun" w:cs="Calibri"/>
          <w:kern w:val="3"/>
          <w:lang w:eastAsia="en-US"/>
        </w:rPr>
        <w:t>. godinu, s planiranim ukupnim prometom od 1,</w:t>
      </w:r>
      <w:r w:rsidR="009A368B" w:rsidRPr="009A368B">
        <w:rPr>
          <w:rFonts w:eastAsia="SimSun" w:cs="Calibri"/>
          <w:kern w:val="3"/>
          <w:lang w:eastAsia="en-US"/>
        </w:rPr>
        <w:t>3</w:t>
      </w:r>
      <w:r w:rsidRPr="009A368B">
        <w:rPr>
          <w:rFonts w:eastAsia="SimSun" w:cs="Calibri"/>
          <w:kern w:val="3"/>
          <w:lang w:eastAsia="en-US"/>
        </w:rPr>
        <w:t xml:space="preserve"> m</w:t>
      </w:r>
      <w:r w:rsidR="00092BB7" w:rsidRPr="009A368B">
        <w:rPr>
          <w:rFonts w:eastAsia="SimSun" w:cs="Calibri"/>
          <w:kern w:val="3"/>
          <w:lang w:eastAsia="en-US"/>
        </w:rPr>
        <w:t>ilijardi</w:t>
      </w:r>
      <w:r w:rsidRPr="009A368B">
        <w:rPr>
          <w:rFonts w:eastAsia="SimSun" w:cs="Calibri"/>
          <w:kern w:val="3"/>
          <w:lang w:eastAsia="en-US"/>
        </w:rPr>
        <w:t xml:space="preserve"> kn.</w:t>
      </w:r>
    </w:p>
    <w:p w:rsidR="00DD72F8" w:rsidRPr="007A598F" w:rsidRDefault="00DD72F8" w:rsidP="005035C6">
      <w:pPr>
        <w:tabs>
          <w:tab w:val="right" w:pos="-3261"/>
          <w:tab w:val="left" w:pos="142"/>
          <w:tab w:val="right" w:pos="8364"/>
        </w:tabs>
        <w:ind w:left="-142"/>
        <w:jc w:val="both"/>
        <w:rPr>
          <w:rFonts w:eastAsia="SimSun" w:cs="Calibri"/>
          <w:kern w:val="3"/>
          <w:lang w:eastAsia="en-US"/>
        </w:rPr>
      </w:pPr>
      <w:r w:rsidRPr="00CB31BF">
        <w:rPr>
          <w:rFonts w:eastAsia="SimSun" w:cs="Calibri"/>
          <w:kern w:val="3"/>
          <w:lang w:eastAsia="en-US"/>
        </w:rPr>
        <w:t>Planirani ukupni prihodi lutrijskih igara i klađenja iznose 4</w:t>
      </w:r>
      <w:r w:rsidR="00CB31BF" w:rsidRPr="00CB31BF">
        <w:rPr>
          <w:rFonts w:eastAsia="SimSun" w:cs="Calibri"/>
          <w:kern w:val="3"/>
          <w:lang w:eastAsia="en-US"/>
        </w:rPr>
        <w:t>67</w:t>
      </w:r>
      <w:r w:rsidR="00092BB7" w:rsidRPr="00CB31BF">
        <w:rPr>
          <w:rFonts w:eastAsia="SimSun" w:cs="Calibri"/>
          <w:kern w:val="3"/>
          <w:lang w:eastAsia="en-US"/>
        </w:rPr>
        <w:t>,</w:t>
      </w:r>
      <w:r w:rsidR="00CB31BF" w:rsidRPr="00CB31BF">
        <w:rPr>
          <w:rFonts w:eastAsia="SimSun" w:cs="Calibri"/>
          <w:kern w:val="3"/>
          <w:lang w:eastAsia="en-US"/>
        </w:rPr>
        <w:t>5</w:t>
      </w:r>
      <w:r w:rsidRPr="00CB31BF">
        <w:rPr>
          <w:rFonts w:eastAsia="SimSun" w:cs="Calibri"/>
          <w:kern w:val="3"/>
          <w:lang w:eastAsia="en-US"/>
        </w:rPr>
        <w:t xml:space="preserve"> mil</w:t>
      </w:r>
      <w:r w:rsidR="00092BB7" w:rsidRPr="00CB31BF">
        <w:rPr>
          <w:rFonts w:eastAsia="SimSun" w:cs="Calibri"/>
          <w:kern w:val="3"/>
          <w:lang w:eastAsia="en-US"/>
        </w:rPr>
        <w:t>ijuna</w:t>
      </w:r>
      <w:r w:rsidRPr="00CB31BF">
        <w:rPr>
          <w:rFonts w:eastAsia="SimSun" w:cs="Calibri"/>
          <w:kern w:val="3"/>
          <w:lang w:eastAsia="en-US"/>
        </w:rPr>
        <w:t xml:space="preserve"> kn</w:t>
      </w:r>
      <w:r w:rsidR="00B24C10" w:rsidRPr="00B24C10">
        <w:rPr>
          <w:rFonts w:eastAsia="SimSun" w:cs="Calibri"/>
          <w:kern w:val="3"/>
          <w:lang w:eastAsia="en-US"/>
        </w:rPr>
        <w:t>, što je za 2</w:t>
      </w:r>
      <w:r w:rsidRPr="00B24C10">
        <w:rPr>
          <w:rFonts w:eastAsia="SimSun" w:cs="Calibri"/>
          <w:kern w:val="3"/>
          <w:lang w:eastAsia="en-US"/>
        </w:rPr>
        <w:t>,</w:t>
      </w:r>
      <w:r w:rsidR="00B24C10" w:rsidRPr="00B24C10">
        <w:rPr>
          <w:rFonts w:eastAsia="SimSun" w:cs="Calibri"/>
          <w:kern w:val="3"/>
          <w:lang w:eastAsia="en-US"/>
        </w:rPr>
        <w:t>33</w:t>
      </w:r>
      <w:r w:rsidRPr="00B24C10">
        <w:rPr>
          <w:rFonts w:eastAsia="SimSun" w:cs="Calibri"/>
          <w:kern w:val="3"/>
          <w:lang w:eastAsia="en-US"/>
        </w:rPr>
        <w:t xml:space="preserve">% više </w:t>
      </w:r>
      <w:r w:rsidR="00CB31BF" w:rsidRPr="00B24C10">
        <w:rPr>
          <w:rFonts w:eastAsia="SimSun" w:cs="Calibri"/>
          <w:kern w:val="3"/>
          <w:lang w:eastAsia="en-US"/>
        </w:rPr>
        <w:t>od prihoda procijenjenih za 2018</w:t>
      </w:r>
      <w:r w:rsidRPr="00B24C10">
        <w:rPr>
          <w:rFonts w:eastAsia="SimSun" w:cs="Calibri"/>
          <w:kern w:val="3"/>
          <w:lang w:eastAsia="en-US"/>
        </w:rPr>
        <w:t>. godinu.</w:t>
      </w:r>
    </w:p>
    <w:p w:rsidR="00DF30C8" w:rsidRPr="007A598F" w:rsidRDefault="007A136F" w:rsidP="007A136F">
      <w:pPr>
        <w:pStyle w:val="Heading1"/>
        <w:numPr>
          <w:ilvl w:val="1"/>
          <w:numId w:val="36"/>
        </w:numPr>
        <w:jc w:val="both"/>
        <w:rPr>
          <w:rFonts w:ascii="Calibri" w:hAnsi="Calibri" w:cs="Calibri"/>
          <w:sz w:val="28"/>
          <w:szCs w:val="28"/>
        </w:rPr>
      </w:pPr>
      <w:bookmarkStart w:id="15" w:name="_Toc532299619"/>
      <w:r w:rsidRPr="007A598F">
        <w:rPr>
          <w:rFonts w:ascii="Calibri" w:hAnsi="Calibri" w:cs="Calibri"/>
          <w:sz w:val="28"/>
          <w:szCs w:val="28"/>
        </w:rPr>
        <w:t>Povećanje broja aktivnih igrača te njihove potrošnje</w:t>
      </w:r>
      <w:bookmarkEnd w:id="15"/>
    </w:p>
    <w:p w:rsidR="003B3868" w:rsidRPr="003B3868" w:rsidRDefault="003B3868" w:rsidP="003B3868">
      <w:pPr>
        <w:tabs>
          <w:tab w:val="right" w:pos="-3261"/>
          <w:tab w:val="left" w:pos="142"/>
          <w:tab w:val="right" w:pos="8364"/>
        </w:tabs>
        <w:ind w:left="-142"/>
        <w:jc w:val="both"/>
      </w:pPr>
      <w:r>
        <w:t>Aktivnosti za ostvarenje navedenog cilja uključuju a</w:t>
      </w:r>
      <w:r w:rsidRPr="003B3868">
        <w:t>kvizicij</w:t>
      </w:r>
      <w:r>
        <w:t>u novih igrača, retenciju</w:t>
      </w:r>
      <w:r w:rsidRPr="003B3868">
        <w:t xml:space="preserve"> postojećih, upravljanje životnim ciklusom igrača, planiranje bonusiranja (online i offline, cross-sell i up-sell) te povezanog oglašavanja</w:t>
      </w:r>
      <w:r>
        <w:t>.</w:t>
      </w:r>
      <w:r w:rsidRPr="003B3868">
        <w:t xml:space="preserve"> </w:t>
      </w:r>
      <w:r>
        <w:t>Navedene bi aktivnosti trebale rezultirati</w:t>
      </w:r>
      <w:r w:rsidRPr="003B3868">
        <w:t xml:space="preserve"> proširenj</w:t>
      </w:r>
      <w:r>
        <w:t>em</w:t>
      </w:r>
      <w:r w:rsidRPr="003B3868">
        <w:t xml:space="preserve"> baze igrača i zadržavanj</w:t>
      </w:r>
      <w:r>
        <w:t>em postojećih igrača, kao i povećanjem</w:t>
      </w:r>
      <w:r w:rsidRPr="003B3868">
        <w:t xml:space="preserve"> njihove potrošnje.</w:t>
      </w:r>
    </w:p>
    <w:p w:rsidR="003B3868" w:rsidRDefault="003B3868" w:rsidP="003B3868">
      <w:pPr>
        <w:tabs>
          <w:tab w:val="right" w:pos="-3261"/>
          <w:tab w:val="left" w:pos="142"/>
          <w:tab w:val="right" w:pos="8364"/>
        </w:tabs>
        <w:ind w:left="-142"/>
        <w:jc w:val="both"/>
      </w:pPr>
      <w:r w:rsidRPr="003B3868">
        <w:t>Poseban je fokus na akviziciji i retenciji za igru putem interneta:</w:t>
      </w:r>
    </w:p>
    <w:p w:rsidR="003B3868" w:rsidRPr="003B3868" w:rsidRDefault="003B3868" w:rsidP="00B47E3F">
      <w:pPr>
        <w:pStyle w:val="ListParagraph"/>
        <w:numPr>
          <w:ilvl w:val="0"/>
          <w:numId w:val="25"/>
        </w:numPr>
        <w:tabs>
          <w:tab w:val="right" w:pos="-3261"/>
          <w:tab w:val="left" w:pos="142"/>
          <w:tab w:val="right" w:pos="8364"/>
        </w:tabs>
        <w:jc w:val="both"/>
      </w:pPr>
      <w:r w:rsidRPr="003B3868">
        <w:rPr>
          <w:rFonts w:cs="Calibri"/>
        </w:rPr>
        <w:t>poticanje registracije novih igrača</w:t>
      </w:r>
    </w:p>
    <w:p w:rsidR="003B3868" w:rsidRPr="003B3868" w:rsidRDefault="003B3868" w:rsidP="00B47E3F">
      <w:pPr>
        <w:pStyle w:val="ListParagraph"/>
        <w:numPr>
          <w:ilvl w:val="0"/>
          <w:numId w:val="23"/>
        </w:numPr>
        <w:jc w:val="both"/>
        <w:rPr>
          <w:rFonts w:cs="Calibri"/>
        </w:rPr>
      </w:pPr>
      <w:r w:rsidRPr="003B3868">
        <w:rPr>
          <w:rFonts w:cs="Calibri"/>
        </w:rPr>
        <w:t>atraktivni različiti programi nagrađivanja vjernosti</w:t>
      </w:r>
    </w:p>
    <w:p w:rsidR="003B3868" w:rsidRPr="003B3868" w:rsidRDefault="003B3868" w:rsidP="00B47E3F">
      <w:pPr>
        <w:pStyle w:val="ListParagraph"/>
        <w:numPr>
          <w:ilvl w:val="0"/>
          <w:numId w:val="23"/>
        </w:numPr>
        <w:jc w:val="both"/>
        <w:rPr>
          <w:rFonts w:cs="Calibri"/>
        </w:rPr>
      </w:pPr>
      <w:r w:rsidRPr="003B3868">
        <w:rPr>
          <w:rFonts w:cs="Calibri"/>
        </w:rPr>
        <w:t>redovite promocije različitih tipova prilagođene različitim skupinama igrača s obzirom na igre koje uplaćuju, iznose za koje igraju, frekvenciju igranja</w:t>
      </w:r>
    </w:p>
    <w:p w:rsidR="003B3868" w:rsidRPr="003B3868" w:rsidRDefault="003B3868" w:rsidP="00B47E3F">
      <w:pPr>
        <w:pStyle w:val="ListParagraph"/>
        <w:numPr>
          <w:ilvl w:val="0"/>
          <w:numId w:val="23"/>
        </w:numPr>
        <w:jc w:val="both"/>
        <w:rPr>
          <w:rFonts w:cs="Calibri"/>
        </w:rPr>
      </w:pPr>
      <w:r w:rsidRPr="003B3868">
        <w:rPr>
          <w:rFonts w:cs="Calibri"/>
        </w:rPr>
        <w:t>proširenje VIP grupa igrača koja s kojima se uspostavlja personalizirani odnos od strane VIP managera</w:t>
      </w:r>
    </w:p>
    <w:p w:rsidR="003B3868" w:rsidRPr="007A598F" w:rsidRDefault="003B3868" w:rsidP="00DF30C8">
      <w:pPr>
        <w:tabs>
          <w:tab w:val="right" w:pos="-3261"/>
          <w:tab w:val="left" w:pos="142"/>
          <w:tab w:val="right" w:pos="8364"/>
        </w:tabs>
        <w:ind w:left="-142"/>
        <w:jc w:val="both"/>
      </w:pPr>
    </w:p>
    <w:p w:rsidR="00B00F5C" w:rsidRPr="007A598F" w:rsidRDefault="007A136F" w:rsidP="007A136F">
      <w:pPr>
        <w:pStyle w:val="Heading1"/>
        <w:numPr>
          <w:ilvl w:val="1"/>
          <w:numId w:val="36"/>
        </w:numPr>
        <w:jc w:val="both"/>
        <w:rPr>
          <w:rFonts w:ascii="Calibri" w:hAnsi="Calibri" w:cs="Calibri"/>
          <w:sz w:val="28"/>
          <w:szCs w:val="28"/>
        </w:rPr>
      </w:pPr>
      <w:bookmarkStart w:id="16" w:name="_Toc532299620"/>
      <w:r w:rsidRPr="007A598F">
        <w:rPr>
          <w:rFonts w:ascii="Calibri" w:hAnsi="Calibri" w:cs="Calibri"/>
          <w:sz w:val="28"/>
          <w:szCs w:val="28"/>
        </w:rPr>
        <w:t>Optimiranje postojećeg portfelja lutrijskih igara na sreću</w:t>
      </w:r>
      <w:bookmarkEnd w:id="16"/>
    </w:p>
    <w:p w:rsidR="00B00F5C" w:rsidRPr="007A598F" w:rsidRDefault="005B2E02" w:rsidP="00CB31BF">
      <w:pPr>
        <w:tabs>
          <w:tab w:val="right" w:pos="-3261"/>
          <w:tab w:val="left" w:pos="142"/>
          <w:tab w:val="right" w:pos="8364"/>
        </w:tabs>
        <w:ind w:left="-142"/>
        <w:jc w:val="both"/>
      </w:pPr>
      <w:r w:rsidRPr="005B2E02">
        <w:t xml:space="preserve">Lutrijske igre relevantan su segment poslovanja u kojem Hrvatska Lutrija ima monopol i dio kroz koji ostvarujemo najveću razinu prepoznatljivosti na tržištu i temeljimo uspješnost kompanije. </w:t>
      </w:r>
      <w:r w:rsidR="00CB31BF">
        <w:t>U</w:t>
      </w:r>
      <w:r w:rsidR="00CB31BF" w:rsidRPr="00CB31BF">
        <w:t xml:space="preserve"> 2019.</w:t>
      </w:r>
      <w:r w:rsidR="00CB31BF">
        <w:t>godini</w:t>
      </w:r>
      <w:r w:rsidR="00CB31BF" w:rsidRPr="00CB31BF">
        <w:t xml:space="preserve"> u skladu sa „Strategijom za </w:t>
      </w:r>
      <w:r w:rsidR="00CB31BF">
        <w:t>razdoblje 2018.-2022.</w:t>
      </w:r>
      <w:r w:rsidR="000875BB">
        <w:t>godine</w:t>
      </w:r>
      <w:r w:rsidR="00CB31BF">
        <w:t>“ nastavit će se</w:t>
      </w:r>
      <w:r w:rsidR="00CB31BF" w:rsidRPr="00CB31BF">
        <w:t xml:space="preserve"> s radom na implementaciji nove platforme </w:t>
      </w:r>
      <w:r w:rsidR="000875BB">
        <w:t xml:space="preserve">za igre </w:t>
      </w:r>
      <w:r w:rsidR="00CB31BF" w:rsidRPr="00CB31BF">
        <w:t>i modernizaciji portfelja igara. U 2018. godini u produkciju je puštena brza igra Keno-Brzih 35. Također je i značajno redizajnirana i repozicionirana loto igra Loto 7/39 koja je postala Loto 7. Obje igre su značajni strateški projekti jasno definirani „Strategijom za razdoblje 2018.-2022.</w:t>
      </w:r>
      <w:r w:rsidR="000875BB">
        <w:t>godine</w:t>
      </w:r>
      <w:r w:rsidR="00CB31BF" w:rsidRPr="00CB31BF">
        <w:t xml:space="preserve">“ Od najznačajnijih projekata tijekom 2019. godine očekuje nas podizanje atraktivnosti i prometa igre Loto 7 uvođenjem automobila kao </w:t>
      </w:r>
      <w:r w:rsidR="000875BB">
        <w:t>robne nagrade</w:t>
      </w:r>
      <w:r w:rsidR="00CB31BF" w:rsidRPr="00CB31BF">
        <w:t xml:space="preserve">, širenjem prodajne mreže i vizualnog prikaza brze igre </w:t>
      </w:r>
      <w:r w:rsidR="00CB31BF" w:rsidRPr="00CB31BF">
        <w:lastRenderedPageBreak/>
        <w:t xml:space="preserve">radi dosizanja punog kapaciteta igre, uvođenje brze igre na novi kanal prodaje (HL Box), redizajn instant igara i osiguranje kontinuiteta </w:t>
      </w:r>
      <w:r w:rsidR="00CB31BF">
        <w:t>kroz dugoročni partnerski odnos.</w:t>
      </w:r>
    </w:p>
    <w:p w:rsidR="00B00F5C" w:rsidRPr="007A598F" w:rsidRDefault="007A136F" w:rsidP="007A136F">
      <w:pPr>
        <w:pStyle w:val="Heading1"/>
        <w:numPr>
          <w:ilvl w:val="1"/>
          <w:numId w:val="36"/>
        </w:numPr>
        <w:jc w:val="both"/>
        <w:rPr>
          <w:rFonts w:ascii="Calibri" w:hAnsi="Calibri" w:cs="Calibri"/>
          <w:sz w:val="28"/>
          <w:szCs w:val="28"/>
        </w:rPr>
      </w:pPr>
      <w:bookmarkStart w:id="17" w:name="_Toc532299621"/>
      <w:r w:rsidRPr="007A598F">
        <w:rPr>
          <w:rFonts w:ascii="Calibri" w:hAnsi="Calibri" w:cs="Calibri"/>
          <w:sz w:val="28"/>
          <w:szCs w:val="28"/>
        </w:rPr>
        <w:t>Povećanje udjela u ukupnom tržištu klađenja</w:t>
      </w:r>
      <w:bookmarkEnd w:id="17"/>
    </w:p>
    <w:p w:rsidR="00E34B31" w:rsidRPr="007A598F" w:rsidRDefault="00B00F5C" w:rsidP="00B00F5C">
      <w:pPr>
        <w:contextualSpacing/>
        <w:jc w:val="both"/>
        <w:rPr>
          <w:rFonts w:cs="Calibri"/>
        </w:rPr>
      </w:pPr>
      <w:r w:rsidRPr="007A598F">
        <w:rPr>
          <w:rFonts w:cs="Calibri"/>
        </w:rPr>
        <w:t>U sklopu strateških inicijativa u djelu jačanja tržišnog segmenta i povećanja udjela na tržištu</w:t>
      </w:r>
      <w:r w:rsidR="0048069C">
        <w:rPr>
          <w:rFonts w:cs="Calibri"/>
        </w:rPr>
        <w:t xml:space="preserve"> (sa 10% u 2018. na 14% u 2022.godini)</w:t>
      </w:r>
      <w:r w:rsidRPr="007A598F">
        <w:rPr>
          <w:rFonts w:cs="Calibri"/>
        </w:rPr>
        <w:t>, definirane su mjere za unaprjeđenje kladionice, koje se prvenstveno očituju u proširenju ponude igara</w:t>
      </w:r>
      <w:r w:rsidR="00FD5337" w:rsidRPr="007A598F">
        <w:rPr>
          <w:rFonts w:cs="Calibri"/>
        </w:rPr>
        <w:t>.</w:t>
      </w:r>
      <w:r w:rsidRPr="007A598F">
        <w:rPr>
          <w:rFonts w:cs="Calibri"/>
        </w:rPr>
        <w:t xml:space="preserve"> </w:t>
      </w:r>
      <w:bookmarkStart w:id="18" w:name="_Hlk500410134"/>
    </w:p>
    <w:p w:rsidR="00B00F5C" w:rsidRPr="007A598F" w:rsidRDefault="00B00F5C" w:rsidP="00B00F5C">
      <w:pPr>
        <w:contextualSpacing/>
        <w:jc w:val="both"/>
        <w:rPr>
          <w:rFonts w:cs="Calibri"/>
        </w:rPr>
      </w:pPr>
      <w:r w:rsidRPr="00CB31BF">
        <w:rPr>
          <w:rFonts w:cs="Calibri"/>
        </w:rPr>
        <w:t xml:space="preserve">Prema podacima Ministarstva financija Republike Hrvatske </w:t>
      </w:r>
      <w:r w:rsidR="000875BB">
        <w:rPr>
          <w:rFonts w:cs="Calibri"/>
        </w:rPr>
        <w:t>Hrvatska Lutrija</w:t>
      </w:r>
      <w:r w:rsidRPr="00CB31BF">
        <w:rPr>
          <w:rFonts w:cs="Calibri"/>
        </w:rPr>
        <w:t xml:space="preserve"> je u </w:t>
      </w:r>
      <w:r w:rsidR="00D72AFB" w:rsidRPr="00CB31BF">
        <w:rPr>
          <w:rFonts w:cs="Calibri"/>
        </w:rPr>
        <w:t xml:space="preserve">prvih 9 mjeseci </w:t>
      </w:r>
      <w:r w:rsidRPr="00CB31BF">
        <w:rPr>
          <w:rFonts w:cs="Calibri"/>
        </w:rPr>
        <w:t>201</w:t>
      </w:r>
      <w:r w:rsidR="00D72AFB" w:rsidRPr="00CB31BF">
        <w:rPr>
          <w:rFonts w:cs="Calibri"/>
        </w:rPr>
        <w:t>8</w:t>
      </w:r>
      <w:r w:rsidRPr="00CB31BF">
        <w:rPr>
          <w:rFonts w:cs="Calibri"/>
        </w:rPr>
        <w:t>. godin</w:t>
      </w:r>
      <w:r w:rsidR="00750FE0" w:rsidRPr="00CB31BF">
        <w:rPr>
          <w:rFonts w:cs="Calibri"/>
        </w:rPr>
        <w:t>e</w:t>
      </w:r>
      <w:r w:rsidRPr="00CB31BF">
        <w:rPr>
          <w:rFonts w:cs="Calibri"/>
        </w:rPr>
        <w:t xml:space="preserve"> imala udjel u ukupnom tržištu klađenja od </w:t>
      </w:r>
      <w:r w:rsidR="00D72AFB" w:rsidRPr="00CB31BF">
        <w:rPr>
          <w:rFonts w:cs="Calibri"/>
        </w:rPr>
        <w:t>9</w:t>
      </w:r>
      <w:r w:rsidR="00750FE0" w:rsidRPr="00CB31BF">
        <w:rPr>
          <w:rFonts w:cs="Calibri"/>
        </w:rPr>
        <w:t>,</w:t>
      </w:r>
      <w:r w:rsidR="00D72AFB" w:rsidRPr="00CB31BF">
        <w:rPr>
          <w:rFonts w:cs="Calibri"/>
        </w:rPr>
        <w:t>9</w:t>
      </w:r>
      <w:r w:rsidRPr="00CB31BF">
        <w:rPr>
          <w:rFonts w:cs="Calibri"/>
        </w:rPr>
        <w:t>%, čime je zadržala treću poziciju, uz isti broj koncesionara (6 priređivača igara klađenja).</w:t>
      </w:r>
      <w:r w:rsidRPr="007A598F">
        <w:rPr>
          <w:rFonts w:cs="Calibri"/>
        </w:rPr>
        <w:t xml:space="preserve"> </w:t>
      </w:r>
      <w:bookmarkEnd w:id="18"/>
      <w:r w:rsidRPr="007A598F">
        <w:rPr>
          <w:rFonts w:cs="Calibri"/>
        </w:rPr>
        <w:t>U planskoj 201</w:t>
      </w:r>
      <w:r w:rsidR="0048069C">
        <w:rPr>
          <w:rFonts w:cs="Calibri"/>
        </w:rPr>
        <w:t>9</w:t>
      </w:r>
      <w:r w:rsidRPr="007A598F">
        <w:rPr>
          <w:rFonts w:cs="Calibri"/>
        </w:rPr>
        <w:t>. godini planira se provođenja niza akcija s ciljem povećanja udjela  u ukupnom tržištu.</w:t>
      </w:r>
      <w:r w:rsidRPr="007A598F">
        <w:t xml:space="preserve"> U tržišnom segmentu </w:t>
      </w:r>
      <w:r w:rsidR="005C3881" w:rsidRPr="007A598F">
        <w:t>planira se</w:t>
      </w:r>
      <w:r w:rsidRPr="007A598F">
        <w:t xml:space="preserve"> redizajniti web stranicu Kladionice </w:t>
      </w:r>
      <w:r w:rsidR="003E1B53">
        <w:t>HL</w:t>
      </w:r>
      <w:r w:rsidRPr="007A598F">
        <w:t xml:space="preserve"> (isključivo sportsko i loto klađenje na webu, samo desktop verzija).  Inicijativa će biti provedena u suradnji s vanjskim partnerima. U okviru ukupne modernizacije portfelja igara, cilj ove pomoćne inicijative jest promijeniti postojeći izgled web stranice, odnosno svrha je učiniti isti atraktivnijim/primjetljivijim ciljanoj skupini igrača u navedenom segmentu. Promjenom dizajna web stranice ne mijenjaju se postojeće igre.  </w:t>
      </w:r>
      <w:r w:rsidR="00CB31BF">
        <w:t xml:space="preserve">U 2019.godini očekuje nas i </w:t>
      </w:r>
      <w:r w:rsidR="00CB31BF" w:rsidRPr="00CB31BF">
        <w:t>rad na redizajnu PDF ponude igara klađenja u poslovnicama</w:t>
      </w:r>
      <w:r w:rsidR="00CB31BF">
        <w:t>.</w:t>
      </w:r>
    </w:p>
    <w:p w:rsidR="00B00F5C" w:rsidRPr="007A598F" w:rsidRDefault="00B00F5C" w:rsidP="00B00F5C">
      <w:pPr>
        <w:contextualSpacing/>
        <w:jc w:val="both"/>
        <w:rPr>
          <w:rFonts w:cs="Calibri"/>
        </w:rPr>
      </w:pPr>
    </w:p>
    <w:p w:rsidR="00B00F5C" w:rsidRDefault="00B00F5C" w:rsidP="00B00F5C">
      <w:pPr>
        <w:contextualSpacing/>
        <w:jc w:val="both"/>
        <w:rPr>
          <w:rFonts w:cs="Calibri"/>
        </w:rPr>
      </w:pPr>
      <w:r w:rsidRPr="007A598F">
        <w:rPr>
          <w:rFonts w:cs="Calibri"/>
        </w:rPr>
        <w:t xml:space="preserve">U pripremi je niz proizvoda i usluga, od kojih se neki provode u suradnji s prodajom uz jaku marketinšku podršku: osiguravanje nagradnih igara i provođenje aktivnosti u segmentu prodaje, veća dostupnost igranja putem kladomata, aktivnosti na društvenim mrežama, te dodatne aktivnosti </w:t>
      </w:r>
      <w:r w:rsidR="00CB31BF">
        <w:rPr>
          <w:rFonts w:cs="Calibri"/>
        </w:rPr>
        <w:t>u svrhu povećanje baze igrača</w:t>
      </w:r>
    </w:p>
    <w:p w:rsidR="0048069C" w:rsidRDefault="0048069C" w:rsidP="00B00F5C">
      <w:pPr>
        <w:contextualSpacing/>
        <w:jc w:val="both"/>
        <w:rPr>
          <w:rFonts w:cs="Calibri"/>
        </w:rPr>
      </w:pPr>
    </w:p>
    <w:p w:rsidR="0048069C" w:rsidRPr="007A598F" w:rsidRDefault="0048069C" w:rsidP="00B00F5C">
      <w:pPr>
        <w:contextualSpacing/>
        <w:jc w:val="both"/>
        <w:rPr>
          <w:rFonts w:cs="Calibri"/>
        </w:rPr>
      </w:pPr>
      <w:r w:rsidRPr="0048069C">
        <w:rPr>
          <w:rFonts w:cs="Calibri"/>
        </w:rPr>
        <w:t>U 2019. obilježava se 15 godina Kladionice HL. Prodajno - marketinška podrška uključuje razradu i provedbu seta aktivnosti sa svrhom osnaženja percepcije o pravoj vrijednosti, važnosti, snazi i kvalitete Kladionice HL</w:t>
      </w:r>
      <w:r w:rsidR="006B4D69">
        <w:rPr>
          <w:rFonts w:cs="Calibri"/>
        </w:rPr>
        <w:t>,</w:t>
      </w:r>
      <w:r w:rsidRPr="0048069C">
        <w:rPr>
          <w:rFonts w:cs="Calibri"/>
        </w:rPr>
        <w:t xml:space="preserve"> a u cilju realizacije planiranih prometa i prihoda.</w:t>
      </w:r>
    </w:p>
    <w:p w:rsidR="00B00F5C" w:rsidRPr="007A598F" w:rsidRDefault="00B00F5C" w:rsidP="00B00F5C"/>
    <w:p w:rsidR="00B00F5C" w:rsidRPr="007A598F" w:rsidRDefault="007A136F" w:rsidP="007A136F">
      <w:pPr>
        <w:pStyle w:val="Heading1"/>
        <w:numPr>
          <w:ilvl w:val="1"/>
          <w:numId w:val="36"/>
        </w:numPr>
        <w:jc w:val="both"/>
        <w:rPr>
          <w:rFonts w:ascii="Calibri" w:hAnsi="Calibri" w:cs="Calibri"/>
          <w:sz w:val="28"/>
          <w:szCs w:val="28"/>
        </w:rPr>
      </w:pPr>
      <w:bookmarkStart w:id="19" w:name="_Toc532299622"/>
      <w:r w:rsidRPr="007A598F">
        <w:rPr>
          <w:rFonts w:ascii="Calibri" w:hAnsi="Calibri" w:cs="Calibri"/>
          <w:sz w:val="28"/>
          <w:szCs w:val="28"/>
        </w:rPr>
        <w:t>Povećanje</w:t>
      </w:r>
      <w:r>
        <w:rPr>
          <w:rFonts w:ascii="Calibri" w:hAnsi="Calibri" w:cs="Calibri"/>
          <w:sz w:val="28"/>
          <w:szCs w:val="28"/>
        </w:rPr>
        <w:t>/zadržavanje prihoda i</w:t>
      </w:r>
      <w:r w:rsidRPr="007A598F">
        <w:rPr>
          <w:rFonts w:ascii="Calibri" w:hAnsi="Calibri" w:cs="Calibri"/>
          <w:sz w:val="28"/>
          <w:szCs w:val="28"/>
        </w:rPr>
        <w:t xml:space="preserve"> udjela u ukupnom tržištu internet casina</w:t>
      </w:r>
      <w:bookmarkEnd w:id="19"/>
    </w:p>
    <w:p w:rsidR="00092BB7" w:rsidRPr="006B6FAE" w:rsidRDefault="009343CC" w:rsidP="00092BB7">
      <w:pPr>
        <w:jc w:val="both"/>
        <w:rPr>
          <w:rFonts w:cs="Calibri"/>
          <w:highlight w:val="yellow"/>
        </w:rPr>
      </w:pPr>
      <w:r w:rsidRPr="009343CC">
        <w:rPr>
          <w:rFonts w:cs="Calibri"/>
        </w:rPr>
        <w:t xml:space="preserve">Očekuje se povećanje konkurencije na tržištu iCasina dolaskom još jednog novog priređivača što podrazumijeva dodatni napor za zadržavanje tržišne pozicije i poboljšanje iste. Internet Casino posebno određuju: visok  povrat sredstava igračima, velika frekvencija (brzina) igre te snažna ovisnost prometa o programima akvizicije, segmentacije igrača i njihovog zadržavanja. Planirani rast prihoda </w:t>
      </w:r>
      <w:r>
        <w:rPr>
          <w:rFonts w:cs="Calibri"/>
        </w:rPr>
        <w:t xml:space="preserve">od 8,6 % </w:t>
      </w:r>
      <w:r w:rsidRPr="009343CC">
        <w:rPr>
          <w:rFonts w:cs="Calibri"/>
        </w:rPr>
        <w:t>osigurao bi se stoga kroz kvalitetne promotivne aktivnosti</w:t>
      </w:r>
      <w:r>
        <w:rPr>
          <w:rFonts w:cs="Calibri"/>
        </w:rPr>
        <w:t>.</w:t>
      </w:r>
    </w:p>
    <w:p w:rsidR="00B00F5C" w:rsidRPr="006B6FAE" w:rsidRDefault="00B00F5C" w:rsidP="00B00F5C">
      <w:pPr>
        <w:contextualSpacing/>
        <w:jc w:val="both"/>
        <w:rPr>
          <w:rFonts w:cs="Calibri"/>
          <w:highlight w:val="yellow"/>
        </w:rPr>
      </w:pPr>
    </w:p>
    <w:p w:rsidR="00DF30C8" w:rsidRPr="007A598F" w:rsidRDefault="007A136F" w:rsidP="007A136F">
      <w:pPr>
        <w:pStyle w:val="Heading1"/>
        <w:numPr>
          <w:ilvl w:val="1"/>
          <w:numId w:val="36"/>
        </w:numPr>
        <w:jc w:val="both"/>
        <w:rPr>
          <w:rFonts w:ascii="Calibri" w:hAnsi="Calibri" w:cs="Calibri"/>
          <w:sz w:val="28"/>
          <w:szCs w:val="28"/>
        </w:rPr>
      </w:pPr>
      <w:bookmarkStart w:id="20" w:name="_Toc532299623"/>
      <w:r w:rsidRPr="007A598F">
        <w:rPr>
          <w:rFonts w:ascii="Calibri" w:hAnsi="Calibri" w:cs="Calibri"/>
          <w:sz w:val="28"/>
          <w:szCs w:val="28"/>
        </w:rPr>
        <w:lastRenderedPageBreak/>
        <w:t>Proširenje mreže automat klubova</w:t>
      </w:r>
      <w:bookmarkEnd w:id="20"/>
    </w:p>
    <w:p w:rsidR="008717ED" w:rsidRPr="008717ED" w:rsidRDefault="008717ED" w:rsidP="008717ED">
      <w:pPr>
        <w:jc w:val="both"/>
        <w:rPr>
          <w:rFonts w:eastAsia="Tahoma" w:cs="Tahoma"/>
        </w:rPr>
      </w:pPr>
      <w:r w:rsidRPr="007A598F">
        <w:rPr>
          <w:rFonts w:eastAsia="Tahoma" w:cs="Tahoma"/>
        </w:rPr>
        <w:t xml:space="preserve">Kao podrška u provođenju </w:t>
      </w:r>
      <w:r>
        <w:rPr>
          <w:rFonts w:eastAsia="Tahoma" w:cs="Tahoma"/>
        </w:rPr>
        <w:t>cilja proširenja mreže automat klubova</w:t>
      </w:r>
      <w:r w:rsidRPr="007A598F">
        <w:rPr>
          <w:rFonts w:eastAsia="Tahoma" w:cs="Tahoma"/>
        </w:rPr>
        <w:t xml:space="preserve">, </w:t>
      </w:r>
      <w:r>
        <w:rPr>
          <w:rFonts w:eastAsia="Tahoma" w:cs="Tahoma"/>
        </w:rPr>
        <w:t>tijekom narednog razdoblja planirane su sljedeće aktivnosti: o</w:t>
      </w:r>
      <w:r w:rsidRPr="008717ED">
        <w:rPr>
          <w:rFonts w:eastAsia="Tahoma" w:cs="Tahoma"/>
        </w:rPr>
        <w:t xml:space="preserve">tvaranje četiri nova automat kluba, širenje mreže automata u kladionicama na dodatnih 40 lokacija. </w:t>
      </w:r>
      <w:r>
        <w:rPr>
          <w:rFonts w:eastAsia="Tahoma" w:cs="Tahoma"/>
        </w:rPr>
        <w:t>Navedeno planiramo popratiti o</w:t>
      </w:r>
      <w:r w:rsidRPr="008717ED">
        <w:rPr>
          <w:rFonts w:eastAsia="Tahoma" w:cs="Tahoma"/>
        </w:rPr>
        <w:t>državanje</w:t>
      </w:r>
      <w:r>
        <w:rPr>
          <w:rFonts w:eastAsia="Tahoma" w:cs="Tahoma"/>
        </w:rPr>
        <w:t>m</w:t>
      </w:r>
      <w:r w:rsidRPr="008717ED">
        <w:rPr>
          <w:rFonts w:eastAsia="Tahoma" w:cs="Tahoma"/>
        </w:rPr>
        <w:t xml:space="preserve"> promotivnih aktivnosti putem priređivanja nagradnih igara, priređivanja turnira </w:t>
      </w:r>
      <w:r>
        <w:rPr>
          <w:rFonts w:eastAsia="Tahoma" w:cs="Tahoma"/>
        </w:rPr>
        <w:t xml:space="preserve">na automatima za igre na sreću, </w:t>
      </w:r>
      <w:r w:rsidRPr="008717ED">
        <w:rPr>
          <w:rFonts w:eastAsia="Tahoma" w:cs="Tahoma"/>
        </w:rPr>
        <w:t>obilježavanje</w:t>
      </w:r>
      <w:r>
        <w:rPr>
          <w:rFonts w:eastAsia="Tahoma" w:cs="Tahoma"/>
        </w:rPr>
        <w:t>m</w:t>
      </w:r>
      <w:r w:rsidRPr="008717ED">
        <w:rPr>
          <w:rFonts w:eastAsia="Tahoma" w:cs="Tahoma"/>
        </w:rPr>
        <w:t xml:space="preserve"> značajnih obljetnica kako bi se obogatio sadržaj igara, sve s ciljem zadržavanja postojećih igrača i dovođenje novih.</w:t>
      </w:r>
    </w:p>
    <w:p w:rsidR="008717ED" w:rsidRPr="008717ED" w:rsidRDefault="008717ED" w:rsidP="008717ED">
      <w:pPr>
        <w:jc w:val="both"/>
        <w:rPr>
          <w:rFonts w:eastAsia="Tahoma" w:cs="Tahoma"/>
        </w:rPr>
      </w:pPr>
      <w:r w:rsidRPr="008717ED">
        <w:rPr>
          <w:rFonts w:eastAsia="Tahoma" w:cs="Tahoma"/>
        </w:rPr>
        <w:t>Prema planu u 2019. godini očekuje se otvaranje četiri nova automat kluba i to u prvoj polovici godine. Navedeno će</w:t>
      </w:r>
      <w:r w:rsidR="000875BB">
        <w:rPr>
          <w:rFonts w:eastAsia="Tahoma" w:cs="Tahoma"/>
        </w:rPr>
        <w:t xml:space="preserve"> pridonijeti povećanju udjela Hrvatske Lutrije</w:t>
      </w:r>
      <w:r w:rsidRPr="008717ED">
        <w:rPr>
          <w:rFonts w:eastAsia="Tahoma" w:cs="Tahoma"/>
        </w:rPr>
        <w:t xml:space="preserve"> na tržištu automata za igre na sreću, pri čemu će se značajno povećati broj novih automata u funkciji što bi trebalo pridonijeti i značajnom povećanju prihoda.  </w:t>
      </w:r>
    </w:p>
    <w:p w:rsidR="00DF30C8" w:rsidRDefault="008717ED" w:rsidP="008717ED">
      <w:pPr>
        <w:jc w:val="both"/>
        <w:rPr>
          <w:rFonts w:eastAsia="Tahoma" w:cs="Tahoma"/>
        </w:rPr>
      </w:pPr>
      <w:r w:rsidRPr="008717ED">
        <w:rPr>
          <w:rFonts w:eastAsia="Tahoma" w:cs="Tahoma"/>
        </w:rPr>
        <w:t>Povećanje broja prodajnih mjesta s automatima za igre na sreću –  u 2019. je planirano proširenje mreže automata u kladionicama na dodatnih 40 lokacija. Ukupno 120 lokacija.</w:t>
      </w:r>
    </w:p>
    <w:p w:rsidR="008717ED" w:rsidRPr="007A598F" w:rsidRDefault="008717ED" w:rsidP="00DF30C8">
      <w:pPr>
        <w:jc w:val="both"/>
      </w:pPr>
    </w:p>
    <w:p w:rsidR="001B55F2" w:rsidRPr="007A598F" w:rsidRDefault="007A136F" w:rsidP="007A136F">
      <w:pPr>
        <w:pStyle w:val="Heading1"/>
        <w:numPr>
          <w:ilvl w:val="1"/>
          <w:numId w:val="36"/>
        </w:numPr>
        <w:jc w:val="both"/>
        <w:rPr>
          <w:rFonts w:ascii="Calibri" w:hAnsi="Calibri" w:cs="Calibri"/>
          <w:sz w:val="28"/>
          <w:szCs w:val="28"/>
        </w:rPr>
      </w:pPr>
      <w:bookmarkStart w:id="21" w:name="_Toc532299624"/>
      <w:r w:rsidRPr="007A598F">
        <w:rPr>
          <w:rFonts w:ascii="Calibri" w:hAnsi="Calibri" w:cs="Calibri"/>
          <w:sz w:val="28"/>
          <w:szCs w:val="28"/>
        </w:rPr>
        <w:t>Jači marketinški fokus u realizaciji projekata iz područja razvoja igara i prodaje</w:t>
      </w:r>
      <w:bookmarkEnd w:id="21"/>
    </w:p>
    <w:p w:rsidR="00B45786" w:rsidRPr="00B45786" w:rsidRDefault="00B45786" w:rsidP="00B45786">
      <w:pPr>
        <w:suppressAutoHyphens/>
        <w:jc w:val="both"/>
        <w:rPr>
          <w:rFonts w:cs="Calibri"/>
        </w:rPr>
      </w:pPr>
      <w:r>
        <w:rPr>
          <w:rFonts w:cs="Calibri"/>
        </w:rPr>
        <w:t>U</w:t>
      </w:r>
      <w:r w:rsidRPr="00B45786">
        <w:rPr>
          <w:rFonts w:cs="Calibri"/>
        </w:rPr>
        <w:t xml:space="preserve"> skladu sa „Strategijom za razdoblje 2018. – 2022.</w:t>
      </w:r>
      <w:r w:rsidR="000875BB">
        <w:rPr>
          <w:rFonts w:cs="Calibri"/>
        </w:rPr>
        <w:t>godine</w:t>
      </w:r>
      <w:r w:rsidRPr="00B45786">
        <w:rPr>
          <w:rFonts w:cs="Calibri"/>
        </w:rPr>
        <w:t xml:space="preserve">“ </w:t>
      </w:r>
      <w:r>
        <w:rPr>
          <w:rFonts w:cs="Calibri"/>
        </w:rPr>
        <w:t xml:space="preserve">tijekom 2019.godine </w:t>
      </w:r>
      <w:r w:rsidR="000875BB">
        <w:rPr>
          <w:rFonts w:cs="Calibri"/>
        </w:rPr>
        <w:t>planiran</w:t>
      </w:r>
      <w:r>
        <w:rPr>
          <w:rFonts w:cs="Calibri"/>
        </w:rPr>
        <w:t xml:space="preserve"> je nastavak rada</w:t>
      </w:r>
      <w:r w:rsidRPr="00B45786">
        <w:rPr>
          <w:rFonts w:cs="Calibri"/>
        </w:rPr>
        <w:t xml:space="preserve"> na ključnim strateškim i operativnim ciljevima sa naglaskom na unapređenju funkcija prodaje i marketinga, posebno u segmentu upravljanja igračima.</w:t>
      </w:r>
    </w:p>
    <w:p w:rsidR="00B45786" w:rsidRPr="00B45786" w:rsidRDefault="00B45786" w:rsidP="00B45786">
      <w:pPr>
        <w:suppressAutoHyphens/>
        <w:jc w:val="both"/>
        <w:rPr>
          <w:rFonts w:cs="Calibri"/>
        </w:rPr>
      </w:pPr>
      <w:r w:rsidRPr="00B45786">
        <w:rPr>
          <w:rFonts w:cs="Calibri"/>
        </w:rPr>
        <w:t>Započet se sa značajnijim promjenama komunikacijske platforme, projektom rebrendinga.</w:t>
      </w:r>
    </w:p>
    <w:p w:rsidR="00B45786" w:rsidRPr="00B45786" w:rsidRDefault="00B45786" w:rsidP="00B45786">
      <w:pPr>
        <w:suppressAutoHyphens/>
        <w:jc w:val="both"/>
        <w:rPr>
          <w:rFonts w:cs="Calibri"/>
        </w:rPr>
      </w:pPr>
      <w:r w:rsidRPr="00B45786">
        <w:rPr>
          <w:rFonts w:cs="Calibri"/>
        </w:rPr>
        <w:t>Svrha promjene je odgovoriti izazovima tržišta, promijenjenim navikama potrošača kao i inova</w:t>
      </w:r>
      <w:r w:rsidR="000875BB">
        <w:rPr>
          <w:rFonts w:cs="Calibri"/>
        </w:rPr>
        <w:t>tivnost</w:t>
      </w:r>
      <w:r w:rsidRPr="00B45786">
        <w:rPr>
          <w:rFonts w:cs="Calibri"/>
        </w:rPr>
        <w:t xml:space="preserve"> u tehnološkom okruženju. </w:t>
      </w:r>
    </w:p>
    <w:p w:rsidR="00B45786" w:rsidRPr="00B45786" w:rsidRDefault="00B45786" w:rsidP="00B45786">
      <w:pPr>
        <w:suppressAutoHyphens/>
        <w:jc w:val="both"/>
        <w:rPr>
          <w:rFonts w:cs="Calibri"/>
        </w:rPr>
      </w:pPr>
      <w:r w:rsidRPr="00B45786">
        <w:rPr>
          <w:rFonts w:cs="Calibri"/>
        </w:rPr>
        <w:t xml:space="preserve">Cilj promjene je postići konzistentniju cjelinu brenda koja će omogućiti kompetitivni nastup Hrvatske Lutrije u javnosti i na tržištu. </w:t>
      </w:r>
    </w:p>
    <w:p w:rsidR="00384C9C" w:rsidRDefault="00B45786" w:rsidP="00384C9C">
      <w:pPr>
        <w:suppressAutoHyphens/>
        <w:jc w:val="both"/>
        <w:rPr>
          <w:rFonts w:cs="Calibri"/>
        </w:rPr>
      </w:pPr>
      <w:r w:rsidRPr="00B45786">
        <w:rPr>
          <w:rFonts w:cs="Calibri"/>
        </w:rPr>
        <w:t xml:space="preserve">Tradicija, povjerenje igrača, ugled tvrtke, kao i činjenica da je Hrvatska Lutrija tvrtka u državnom vlasništvu osnovne su vrijednosti brenda Hrvatske Lutrije. Sama brand arhitektura u osnovnom obliku nastala je 90- tih godina. Od tada je Hrvatska Lutrija obogatila svoj portfelj novim igrama, novim kanalima prodaje te komunikacije. Dopuna brand arhitekture kroz godine događala se nedovoljno planski što kao rezultat ima nedovoljno jasnu i povezanu komunikaciju pojedinih brandova. Tržišna dinamika i pojava konkurencije u pojedinim vrstama igara zahtijevaju, kako modernizaciju samog poslovanja, tako i izradu cjelovite i fleksibilne brand arhitekture. </w:t>
      </w:r>
    </w:p>
    <w:p w:rsidR="00384C9C" w:rsidRPr="00384C9C" w:rsidRDefault="00384C9C" w:rsidP="00384C9C">
      <w:pPr>
        <w:suppressAutoHyphens/>
        <w:jc w:val="both"/>
        <w:rPr>
          <w:rFonts w:cs="Calibri"/>
        </w:rPr>
      </w:pPr>
      <w:r>
        <w:rPr>
          <w:rFonts w:cs="Calibri"/>
        </w:rPr>
        <w:t xml:space="preserve">Rebrendingom imamo za cilj </w:t>
      </w:r>
      <w:r w:rsidRPr="00384C9C">
        <w:rPr>
          <w:rFonts w:cs="Calibri"/>
        </w:rPr>
        <w:t>isticanje prednosti i vrijednosti tvrtke s jasno pozicioniranim igrama u portfelju na način da</w:t>
      </w:r>
      <w:r>
        <w:rPr>
          <w:rFonts w:cs="Calibri"/>
        </w:rPr>
        <w:t xml:space="preserve"> će komunicirati misiju i viziju</w:t>
      </w:r>
      <w:r w:rsidRPr="00384C9C">
        <w:rPr>
          <w:rFonts w:cs="Calibri"/>
        </w:rPr>
        <w:t xml:space="preserve"> tvrtke kao i modernizaciju samog poslovanja koja će se dogoditi s novom platformom.</w:t>
      </w:r>
    </w:p>
    <w:p w:rsidR="00384C9C" w:rsidRPr="001D66C3" w:rsidRDefault="00384C9C" w:rsidP="00384C9C">
      <w:pPr>
        <w:spacing w:after="0"/>
        <w:jc w:val="both"/>
      </w:pPr>
      <w:r w:rsidRPr="001D66C3">
        <w:t xml:space="preserve">Nakon provedbe istraživanja i percepcije vrijednosti branda Hrvatske Lutrije, potrebno je jasno definirati ključne ciljeve projekta nove brand arhitekture. </w:t>
      </w:r>
    </w:p>
    <w:p w:rsidR="00384C9C" w:rsidRPr="001D66C3" w:rsidRDefault="00384C9C" w:rsidP="00384C9C">
      <w:pPr>
        <w:spacing w:after="0"/>
        <w:jc w:val="both"/>
      </w:pPr>
      <w:r w:rsidRPr="001D66C3">
        <w:lastRenderedPageBreak/>
        <w:t>Projekt će se realizirati kroz nekoliko faza i projekata:</w:t>
      </w:r>
    </w:p>
    <w:p w:rsidR="00384C9C" w:rsidRPr="001D66C3" w:rsidRDefault="00384C9C" w:rsidP="00B47E3F">
      <w:pPr>
        <w:pStyle w:val="ListParagraph"/>
        <w:numPr>
          <w:ilvl w:val="0"/>
          <w:numId w:val="26"/>
        </w:numPr>
        <w:suppressAutoHyphens/>
        <w:autoSpaceDN w:val="0"/>
        <w:spacing w:after="0" w:line="240" w:lineRule="auto"/>
        <w:contextualSpacing w:val="0"/>
        <w:jc w:val="both"/>
      </w:pPr>
      <w:r w:rsidRPr="001D66C3">
        <w:t>Osnovna knjiga standarda koja sadrži brand arhitekturu na razini pojedinih logotipa kroz koje će se moći vidjeti međusobni odnos logotipa jedne grupe igara, kao i odnos logotipa iz grupe igara i krovnog branda. U ovoj fazi osim promjene samog znaka pojedine igre koje imaju generički naziv promijenit će i ime kako bi postigli kvalitetniju tržišnu prepoznatljivost.</w:t>
      </w:r>
    </w:p>
    <w:p w:rsidR="00384C9C" w:rsidRPr="001D66C3" w:rsidRDefault="00384C9C" w:rsidP="00B47E3F">
      <w:pPr>
        <w:pStyle w:val="ListParagraph"/>
        <w:numPr>
          <w:ilvl w:val="0"/>
          <w:numId w:val="26"/>
        </w:numPr>
        <w:suppressAutoHyphens/>
        <w:autoSpaceDN w:val="0"/>
        <w:spacing w:after="0" w:line="240" w:lineRule="auto"/>
        <w:contextualSpacing w:val="0"/>
        <w:jc w:val="both"/>
      </w:pPr>
      <w:r w:rsidRPr="001D66C3">
        <w:t>Cjelovita knjiga standarda koja će se izraditi nakon osnovne uključivati će kompletnu brand arhitekturu s modifikacijama i primjenama.</w:t>
      </w:r>
    </w:p>
    <w:p w:rsidR="00384C9C" w:rsidRPr="001D66C3" w:rsidRDefault="00384C9C" w:rsidP="00B47E3F">
      <w:pPr>
        <w:pStyle w:val="ListParagraph"/>
        <w:numPr>
          <w:ilvl w:val="0"/>
          <w:numId w:val="26"/>
        </w:numPr>
        <w:suppressAutoHyphens/>
        <w:autoSpaceDN w:val="0"/>
        <w:spacing w:after="0" w:line="240" w:lineRule="auto"/>
        <w:contextualSpacing w:val="0"/>
        <w:jc w:val="both"/>
      </w:pPr>
      <w:r w:rsidRPr="001D66C3">
        <w:t>Prilagodba i priprema svih materijala za implementaciju nove brand arhitekture.</w:t>
      </w:r>
    </w:p>
    <w:p w:rsidR="00384C9C" w:rsidRDefault="00384C9C" w:rsidP="00B47E3F">
      <w:pPr>
        <w:pStyle w:val="ListParagraph"/>
        <w:numPr>
          <w:ilvl w:val="0"/>
          <w:numId w:val="26"/>
        </w:numPr>
        <w:suppressAutoHyphens/>
        <w:autoSpaceDN w:val="0"/>
        <w:spacing w:after="0" w:line="240" w:lineRule="auto"/>
        <w:contextualSpacing w:val="0"/>
        <w:jc w:val="both"/>
      </w:pPr>
      <w:r w:rsidRPr="001D66C3">
        <w:t>Implementacija nove brand arhitekture s projektom nove platforme – po fazama za različite kanale.</w:t>
      </w:r>
    </w:p>
    <w:p w:rsidR="00384C9C" w:rsidRPr="001D66C3" w:rsidRDefault="00384C9C" w:rsidP="00B47E3F">
      <w:pPr>
        <w:pStyle w:val="ListParagraph"/>
        <w:numPr>
          <w:ilvl w:val="0"/>
          <w:numId w:val="26"/>
        </w:numPr>
        <w:suppressAutoHyphens/>
        <w:autoSpaceDN w:val="0"/>
        <w:spacing w:after="0" w:line="240" w:lineRule="auto"/>
        <w:contextualSpacing w:val="0"/>
        <w:jc w:val="both"/>
      </w:pPr>
      <w:r>
        <w:t>Integracija u poslovne procese.</w:t>
      </w:r>
    </w:p>
    <w:p w:rsidR="001B55F2" w:rsidRPr="00B45786" w:rsidRDefault="001B55F2" w:rsidP="00B45786">
      <w:pPr>
        <w:suppressAutoHyphens/>
        <w:jc w:val="both"/>
        <w:rPr>
          <w:rFonts w:cs="Calibri"/>
        </w:rPr>
      </w:pPr>
    </w:p>
    <w:p w:rsidR="001B55F2" w:rsidRPr="007A598F" w:rsidRDefault="007A136F" w:rsidP="007A136F">
      <w:pPr>
        <w:pStyle w:val="Heading1"/>
        <w:numPr>
          <w:ilvl w:val="1"/>
          <w:numId w:val="36"/>
        </w:numPr>
        <w:jc w:val="both"/>
        <w:rPr>
          <w:rFonts w:ascii="Calibri" w:hAnsi="Calibri" w:cs="Calibri"/>
          <w:sz w:val="28"/>
          <w:szCs w:val="28"/>
        </w:rPr>
      </w:pPr>
      <w:bookmarkStart w:id="22" w:name="_Toc532299625"/>
      <w:r>
        <w:rPr>
          <w:rFonts w:ascii="Calibri" w:hAnsi="Calibri" w:cs="Calibri"/>
          <w:sz w:val="28"/>
          <w:szCs w:val="28"/>
        </w:rPr>
        <w:t>IT</w:t>
      </w:r>
      <w:r w:rsidRPr="007A598F">
        <w:rPr>
          <w:rFonts w:ascii="Calibri" w:hAnsi="Calibri" w:cs="Calibri"/>
          <w:sz w:val="28"/>
          <w:szCs w:val="28"/>
        </w:rPr>
        <w:t xml:space="preserve"> modernizacija i podrška kod implementacije poslovnih rješenja</w:t>
      </w:r>
      <w:bookmarkEnd w:id="22"/>
    </w:p>
    <w:p w:rsidR="001B55F2" w:rsidRDefault="001B55F2" w:rsidP="001B55F2">
      <w:pPr>
        <w:jc w:val="both"/>
        <w:rPr>
          <w:rFonts w:cs="Calibri"/>
        </w:rPr>
      </w:pPr>
      <w:r w:rsidRPr="007A598F">
        <w:rPr>
          <w:rFonts w:cs="Calibri"/>
        </w:rPr>
        <w:t>Tijekom narednog razdoblja planiraju se sljedeće aktivnosti i projekti s ciljem realizacije operativnih i strateških ciljeva:</w:t>
      </w:r>
    </w:p>
    <w:p w:rsidR="006F7546" w:rsidRPr="001A0699" w:rsidRDefault="006F7546" w:rsidP="00B47E3F">
      <w:pPr>
        <w:pStyle w:val="ListParagraph"/>
        <w:numPr>
          <w:ilvl w:val="0"/>
          <w:numId w:val="22"/>
        </w:numPr>
        <w:jc w:val="both"/>
        <w:rPr>
          <w:rFonts w:cs="Calibri"/>
          <w:b/>
        </w:rPr>
      </w:pPr>
      <w:r w:rsidRPr="006F7546">
        <w:rPr>
          <w:rFonts w:cs="Calibri"/>
          <w:b/>
        </w:rPr>
        <w:t>Koordinacija oko prebacivanja/migracije dijela sistemskih resursa na novu platformu i u novi Data Centar, povezivanje mrežne infrastrukture i instalacije novih terminala i opreme tvrtke Intralot</w:t>
      </w:r>
    </w:p>
    <w:p w:rsidR="006F7546" w:rsidRPr="006F7546" w:rsidRDefault="006F7546" w:rsidP="00B47E3F">
      <w:pPr>
        <w:pStyle w:val="ListParagraph"/>
        <w:numPr>
          <w:ilvl w:val="0"/>
          <w:numId w:val="23"/>
        </w:numPr>
        <w:jc w:val="both"/>
        <w:rPr>
          <w:rFonts w:cs="Calibri"/>
        </w:rPr>
      </w:pPr>
      <w:r w:rsidRPr="006F7546">
        <w:rPr>
          <w:rFonts w:cs="Calibri"/>
        </w:rPr>
        <w:t>povezivanje novog data centra sa postojećim i sa cijelom prodajnom mrežom kroz MPLS komunikacijsku mrežu</w:t>
      </w:r>
    </w:p>
    <w:p w:rsidR="006F7546" w:rsidRPr="006F7546" w:rsidRDefault="006F7546" w:rsidP="00B47E3F">
      <w:pPr>
        <w:pStyle w:val="ListParagraph"/>
        <w:numPr>
          <w:ilvl w:val="0"/>
          <w:numId w:val="23"/>
        </w:numPr>
        <w:jc w:val="both"/>
        <w:rPr>
          <w:rFonts w:cs="Calibri"/>
        </w:rPr>
      </w:pPr>
      <w:r w:rsidRPr="006F7546">
        <w:rPr>
          <w:rFonts w:cs="Calibri"/>
        </w:rPr>
        <w:t>migracija podataka iz postojećeg u novi sustav</w:t>
      </w:r>
    </w:p>
    <w:p w:rsidR="002C404D" w:rsidRDefault="006F7546" w:rsidP="00B47E3F">
      <w:pPr>
        <w:pStyle w:val="ListParagraph"/>
        <w:numPr>
          <w:ilvl w:val="0"/>
          <w:numId w:val="23"/>
        </w:numPr>
        <w:jc w:val="both"/>
        <w:rPr>
          <w:rFonts w:cs="Calibri"/>
        </w:rPr>
      </w:pPr>
      <w:r w:rsidRPr="006F7546">
        <w:rPr>
          <w:rFonts w:cs="Calibri"/>
        </w:rPr>
        <w:t>povezivanje ostalog dijela poslovnog sustava sa novim sustavom igara</w:t>
      </w:r>
    </w:p>
    <w:p w:rsidR="006F7546" w:rsidRPr="002C404D" w:rsidRDefault="001A0699" w:rsidP="002C404D">
      <w:pPr>
        <w:ind w:left="708"/>
        <w:jc w:val="both"/>
        <w:rPr>
          <w:rFonts w:cs="Calibri"/>
        </w:rPr>
      </w:pPr>
      <w:r w:rsidRPr="002C404D">
        <w:rPr>
          <w:rFonts w:cs="Calibri"/>
        </w:rPr>
        <w:t>Navedene aktivnosti odvijat će se t</w:t>
      </w:r>
      <w:r w:rsidR="006F7546" w:rsidRPr="002C404D">
        <w:rPr>
          <w:rFonts w:cs="Calibri"/>
        </w:rPr>
        <w:t>ijekom 2019</w:t>
      </w:r>
      <w:r w:rsidRPr="002C404D">
        <w:rPr>
          <w:rFonts w:cs="Calibri"/>
        </w:rPr>
        <w:t>.godine</w:t>
      </w:r>
      <w:r w:rsidR="006F7546" w:rsidRPr="002C404D">
        <w:rPr>
          <w:rFonts w:cs="Calibri"/>
        </w:rPr>
        <w:t xml:space="preserve"> za mrežu, a do sredine 2020</w:t>
      </w:r>
      <w:r w:rsidRPr="002C404D">
        <w:rPr>
          <w:rFonts w:cs="Calibri"/>
        </w:rPr>
        <w:t>.godine</w:t>
      </w:r>
      <w:r w:rsidR="006F7546" w:rsidRPr="002C404D">
        <w:rPr>
          <w:rFonts w:cs="Calibri"/>
        </w:rPr>
        <w:t xml:space="preserve"> za ostale aktivnosti</w:t>
      </w:r>
    </w:p>
    <w:p w:rsidR="006F7546" w:rsidRPr="001A0699" w:rsidRDefault="006F7546" w:rsidP="00B47E3F">
      <w:pPr>
        <w:pStyle w:val="ListParagraph"/>
        <w:numPr>
          <w:ilvl w:val="0"/>
          <w:numId w:val="22"/>
        </w:numPr>
        <w:jc w:val="both"/>
        <w:rPr>
          <w:rFonts w:cs="Calibri"/>
          <w:b/>
        </w:rPr>
      </w:pPr>
      <w:r w:rsidRPr="001A0699">
        <w:rPr>
          <w:rFonts w:cs="Calibri"/>
          <w:b/>
        </w:rPr>
        <w:t>Tehnološka nadogradnja/modernizacija prodajne mreže novim mrežnim sustavima</w:t>
      </w:r>
    </w:p>
    <w:p w:rsidR="006F7546" w:rsidRPr="006F7546" w:rsidRDefault="006F7546" w:rsidP="00B47E3F">
      <w:pPr>
        <w:pStyle w:val="ListParagraph"/>
        <w:numPr>
          <w:ilvl w:val="0"/>
          <w:numId w:val="23"/>
        </w:numPr>
        <w:jc w:val="both"/>
        <w:rPr>
          <w:rFonts w:cs="Calibri"/>
        </w:rPr>
      </w:pPr>
      <w:r w:rsidRPr="006F7546">
        <w:rPr>
          <w:rFonts w:cs="Calibri"/>
        </w:rPr>
        <w:t xml:space="preserve">nabava nove mrežne opreme ovisno o trenutnom stanju tehnologije na tržištu </w:t>
      </w:r>
    </w:p>
    <w:p w:rsidR="006F7546" w:rsidRPr="006F7546" w:rsidRDefault="006F7546" w:rsidP="00B47E3F">
      <w:pPr>
        <w:pStyle w:val="ListParagraph"/>
        <w:numPr>
          <w:ilvl w:val="0"/>
          <w:numId w:val="23"/>
        </w:numPr>
        <w:jc w:val="both"/>
        <w:rPr>
          <w:rFonts w:cs="Calibri"/>
        </w:rPr>
      </w:pPr>
      <w:r w:rsidRPr="006F7546">
        <w:rPr>
          <w:rFonts w:cs="Calibri"/>
        </w:rPr>
        <w:t>zamjena i nadogradnja dijela postojeće mrežne opreme i instalacija novih lokacija sa novom generacijom uređaja</w:t>
      </w:r>
    </w:p>
    <w:p w:rsidR="006F7546" w:rsidRDefault="006F7546" w:rsidP="00B47E3F">
      <w:pPr>
        <w:pStyle w:val="ListParagraph"/>
        <w:numPr>
          <w:ilvl w:val="0"/>
          <w:numId w:val="23"/>
        </w:numPr>
        <w:jc w:val="both"/>
        <w:rPr>
          <w:rFonts w:cs="Calibri"/>
        </w:rPr>
      </w:pPr>
      <w:r w:rsidRPr="006F7546">
        <w:rPr>
          <w:rFonts w:cs="Calibri"/>
        </w:rPr>
        <w:t>uvođenje Private Cloud Wireless sustava u postojeća ili nova prodajna mjesta</w:t>
      </w:r>
    </w:p>
    <w:p w:rsidR="002C404D" w:rsidRPr="006F7546" w:rsidRDefault="002C404D" w:rsidP="002C404D">
      <w:pPr>
        <w:pStyle w:val="ListParagraph"/>
        <w:ind w:left="1068"/>
        <w:jc w:val="both"/>
        <w:rPr>
          <w:rFonts w:cs="Calibri"/>
        </w:rPr>
      </w:pPr>
    </w:p>
    <w:p w:rsidR="006F7546" w:rsidRPr="001A0699" w:rsidRDefault="006F7546" w:rsidP="00B47E3F">
      <w:pPr>
        <w:pStyle w:val="ListParagraph"/>
        <w:numPr>
          <w:ilvl w:val="0"/>
          <w:numId w:val="22"/>
        </w:numPr>
        <w:jc w:val="both"/>
        <w:rPr>
          <w:rFonts w:cs="Calibri"/>
          <w:b/>
        </w:rPr>
      </w:pPr>
      <w:r w:rsidRPr="001A0699">
        <w:rPr>
          <w:rFonts w:cs="Calibri"/>
          <w:b/>
        </w:rPr>
        <w:t>Implementacija IP telefonije unutar Hrvatske Lutrije</w:t>
      </w:r>
    </w:p>
    <w:p w:rsidR="006F7546" w:rsidRPr="006F7546" w:rsidRDefault="006F7546" w:rsidP="00B47E3F">
      <w:pPr>
        <w:pStyle w:val="ListParagraph"/>
        <w:numPr>
          <w:ilvl w:val="0"/>
          <w:numId w:val="23"/>
        </w:numPr>
        <w:jc w:val="both"/>
        <w:rPr>
          <w:rFonts w:cs="Calibri"/>
        </w:rPr>
      </w:pPr>
      <w:r w:rsidRPr="006F7546">
        <w:rPr>
          <w:rFonts w:cs="Calibri"/>
        </w:rPr>
        <w:t>nabava sustava IP telefonije</w:t>
      </w:r>
    </w:p>
    <w:p w:rsidR="006F7546" w:rsidRPr="006F7546" w:rsidRDefault="006F7546" w:rsidP="00B47E3F">
      <w:pPr>
        <w:pStyle w:val="ListParagraph"/>
        <w:numPr>
          <w:ilvl w:val="0"/>
          <w:numId w:val="23"/>
        </w:numPr>
        <w:jc w:val="both"/>
        <w:rPr>
          <w:rFonts w:cs="Calibri"/>
        </w:rPr>
      </w:pPr>
      <w:r w:rsidRPr="006F7546">
        <w:rPr>
          <w:rFonts w:cs="Calibri"/>
        </w:rPr>
        <w:t>implementa</w:t>
      </w:r>
      <w:r w:rsidR="000875BB">
        <w:rPr>
          <w:rFonts w:cs="Calibri"/>
        </w:rPr>
        <w:t>cija sustava nad djelatnicima Hrvatske Lutrije</w:t>
      </w:r>
      <w:r w:rsidRPr="006F7546">
        <w:rPr>
          <w:rFonts w:cs="Calibri"/>
        </w:rPr>
        <w:t xml:space="preserve"> koji posjeduju računom unutar Active Directory-ja</w:t>
      </w:r>
    </w:p>
    <w:p w:rsidR="006F7546" w:rsidRPr="006F7546" w:rsidRDefault="006F7546" w:rsidP="00B47E3F">
      <w:pPr>
        <w:pStyle w:val="ListParagraph"/>
        <w:numPr>
          <w:ilvl w:val="0"/>
          <w:numId w:val="23"/>
        </w:numPr>
        <w:jc w:val="both"/>
        <w:rPr>
          <w:rFonts w:cs="Calibri"/>
        </w:rPr>
      </w:pPr>
      <w:r w:rsidRPr="006F7546">
        <w:rPr>
          <w:rFonts w:cs="Calibri"/>
        </w:rPr>
        <w:t xml:space="preserve">priprema i analiza potrebnih resursa za zamjenu postojeće telefonske centrale koristeći novu dobavljenu IP telefoniju za potrebe odlaznih i dolaznih poziva </w:t>
      </w:r>
    </w:p>
    <w:p w:rsidR="006F7546" w:rsidRPr="006F7546" w:rsidRDefault="001A0699" w:rsidP="002C404D">
      <w:pPr>
        <w:ind w:firstLine="708"/>
        <w:jc w:val="both"/>
        <w:rPr>
          <w:rFonts w:cs="Calibri"/>
        </w:rPr>
      </w:pPr>
      <w:r>
        <w:rPr>
          <w:rFonts w:cs="Calibri"/>
        </w:rPr>
        <w:lastRenderedPageBreak/>
        <w:t>Navedene aktivnosti odvijat će se t</w:t>
      </w:r>
      <w:r w:rsidRPr="006F7546">
        <w:rPr>
          <w:rFonts w:cs="Calibri"/>
        </w:rPr>
        <w:t>ijekom 2019</w:t>
      </w:r>
      <w:r>
        <w:rPr>
          <w:rFonts w:cs="Calibri"/>
        </w:rPr>
        <w:t>.godine</w:t>
      </w:r>
      <w:r w:rsidRPr="006F7546">
        <w:rPr>
          <w:rFonts w:cs="Calibri"/>
        </w:rPr>
        <w:t xml:space="preserve"> </w:t>
      </w:r>
      <w:r w:rsidR="006F7546" w:rsidRPr="006F7546">
        <w:rPr>
          <w:rFonts w:cs="Calibri"/>
        </w:rPr>
        <w:t>i opcionalno tijekom 2020</w:t>
      </w:r>
      <w:r>
        <w:rPr>
          <w:rFonts w:cs="Calibri"/>
        </w:rPr>
        <w:t>.godine.</w:t>
      </w:r>
    </w:p>
    <w:p w:rsidR="006F7546" w:rsidRPr="001A0699" w:rsidRDefault="006F7546" w:rsidP="00B47E3F">
      <w:pPr>
        <w:pStyle w:val="ListParagraph"/>
        <w:numPr>
          <w:ilvl w:val="0"/>
          <w:numId w:val="22"/>
        </w:numPr>
        <w:jc w:val="both"/>
        <w:rPr>
          <w:rFonts w:cs="Calibri"/>
          <w:b/>
        </w:rPr>
      </w:pPr>
      <w:r w:rsidRPr="001A0699">
        <w:rPr>
          <w:rFonts w:cs="Calibri"/>
          <w:b/>
        </w:rPr>
        <w:t>Povećanje IT sigurnosti unutar Hrvatske Lutrije</w:t>
      </w:r>
    </w:p>
    <w:p w:rsidR="006F7546" w:rsidRPr="002C404D" w:rsidRDefault="006F7546" w:rsidP="00B47E3F">
      <w:pPr>
        <w:pStyle w:val="ListParagraph"/>
        <w:numPr>
          <w:ilvl w:val="0"/>
          <w:numId w:val="23"/>
        </w:numPr>
        <w:jc w:val="both"/>
        <w:rPr>
          <w:rFonts w:cs="Calibri"/>
        </w:rPr>
      </w:pPr>
      <w:r w:rsidRPr="002C404D">
        <w:rPr>
          <w:rFonts w:cs="Calibri"/>
        </w:rPr>
        <w:t xml:space="preserve">analiza sigurnosnih mehanizama i sustava unutar </w:t>
      </w:r>
      <w:r w:rsidR="000875BB">
        <w:rPr>
          <w:rFonts w:cs="Calibri"/>
        </w:rPr>
        <w:t>Hrvatske Lutrije</w:t>
      </w:r>
    </w:p>
    <w:p w:rsidR="006F7546" w:rsidRPr="002C404D" w:rsidRDefault="006F7546" w:rsidP="00B47E3F">
      <w:pPr>
        <w:pStyle w:val="ListParagraph"/>
        <w:numPr>
          <w:ilvl w:val="0"/>
          <w:numId w:val="23"/>
        </w:numPr>
        <w:jc w:val="both"/>
        <w:rPr>
          <w:rFonts w:cs="Calibri"/>
        </w:rPr>
      </w:pPr>
      <w:r w:rsidRPr="002C404D">
        <w:rPr>
          <w:rFonts w:cs="Calibri"/>
        </w:rPr>
        <w:t>analiza noviteta na tržištu IT sigurnosti</w:t>
      </w:r>
    </w:p>
    <w:p w:rsidR="006F7546" w:rsidRDefault="006F7546" w:rsidP="00B47E3F">
      <w:pPr>
        <w:pStyle w:val="ListParagraph"/>
        <w:numPr>
          <w:ilvl w:val="0"/>
          <w:numId w:val="23"/>
        </w:numPr>
        <w:jc w:val="both"/>
        <w:rPr>
          <w:rFonts w:cs="Calibri"/>
        </w:rPr>
      </w:pPr>
      <w:r w:rsidRPr="002C404D">
        <w:rPr>
          <w:rFonts w:cs="Calibri"/>
        </w:rPr>
        <w:t>nabava i nadogradnja postojećeg sustava za IT sigurnost</w:t>
      </w:r>
    </w:p>
    <w:p w:rsidR="002C404D" w:rsidRPr="002C404D" w:rsidRDefault="002C404D" w:rsidP="002C404D">
      <w:pPr>
        <w:pStyle w:val="ListParagraph"/>
        <w:ind w:left="1068"/>
        <w:jc w:val="both"/>
        <w:rPr>
          <w:rFonts w:cs="Calibri"/>
        </w:rPr>
      </w:pPr>
    </w:p>
    <w:p w:rsidR="006F7546" w:rsidRPr="002C404D" w:rsidRDefault="006F7546" w:rsidP="00B47E3F">
      <w:pPr>
        <w:pStyle w:val="ListParagraph"/>
        <w:numPr>
          <w:ilvl w:val="0"/>
          <w:numId w:val="22"/>
        </w:numPr>
        <w:jc w:val="both"/>
        <w:rPr>
          <w:rFonts w:cs="Calibri"/>
          <w:b/>
        </w:rPr>
      </w:pPr>
      <w:r w:rsidRPr="001A0699">
        <w:rPr>
          <w:rFonts w:cs="Calibri"/>
          <w:b/>
        </w:rPr>
        <w:t>Prebacivanje servisa u Cloud ili korištenje cloud usluga</w:t>
      </w:r>
    </w:p>
    <w:p w:rsidR="002C404D" w:rsidRDefault="006F7546" w:rsidP="00B47E3F">
      <w:pPr>
        <w:pStyle w:val="ListParagraph"/>
        <w:numPr>
          <w:ilvl w:val="0"/>
          <w:numId w:val="24"/>
        </w:numPr>
        <w:jc w:val="both"/>
        <w:rPr>
          <w:rFonts w:cs="Calibri"/>
        </w:rPr>
      </w:pPr>
      <w:r w:rsidRPr="002C404D">
        <w:rPr>
          <w:rFonts w:cs="Calibri"/>
        </w:rPr>
        <w:t>analiza servisa ili sustava za prebacivanje u Cloud</w:t>
      </w:r>
    </w:p>
    <w:p w:rsidR="002C404D" w:rsidRDefault="006F7546" w:rsidP="00B47E3F">
      <w:pPr>
        <w:pStyle w:val="ListParagraph"/>
        <w:numPr>
          <w:ilvl w:val="0"/>
          <w:numId w:val="24"/>
        </w:numPr>
        <w:jc w:val="both"/>
        <w:rPr>
          <w:rFonts w:cs="Calibri"/>
        </w:rPr>
      </w:pPr>
      <w:r w:rsidRPr="002C404D">
        <w:rPr>
          <w:rFonts w:cs="Calibri"/>
        </w:rPr>
        <w:t xml:space="preserve">potencijalno korištenje Office 365 usluga za veću mobilnost i „visibility“ te za povećanje poslovne učinkovitosti i kolaboracije unutar </w:t>
      </w:r>
      <w:r w:rsidR="000875BB">
        <w:rPr>
          <w:rFonts w:cs="Calibri"/>
        </w:rPr>
        <w:t>Hrvatske Lutrije</w:t>
      </w:r>
      <w:r w:rsidR="002C404D">
        <w:rPr>
          <w:rFonts w:cs="Calibri"/>
        </w:rPr>
        <w:t>.</w:t>
      </w:r>
    </w:p>
    <w:p w:rsidR="006F7546" w:rsidRPr="002C404D" w:rsidRDefault="000875BB" w:rsidP="002C404D">
      <w:pPr>
        <w:ind w:left="708"/>
        <w:jc w:val="both"/>
        <w:rPr>
          <w:rFonts w:cs="Calibri"/>
        </w:rPr>
      </w:pPr>
      <w:r>
        <w:rPr>
          <w:rFonts w:cs="Calibri"/>
        </w:rPr>
        <w:t>S navedenim</w:t>
      </w:r>
      <w:r w:rsidR="002C404D" w:rsidRPr="002C404D">
        <w:rPr>
          <w:rFonts w:cs="Calibri"/>
        </w:rPr>
        <w:t xml:space="preserve"> aktivnosti</w:t>
      </w:r>
      <w:r>
        <w:rPr>
          <w:rFonts w:cs="Calibri"/>
        </w:rPr>
        <w:t>ma</w:t>
      </w:r>
      <w:r w:rsidR="002C404D" w:rsidRPr="002C404D">
        <w:rPr>
          <w:rFonts w:cs="Calibri"/>
        </w:rPr>
        <w:t xml:space="preserve"> </w:t>
      </w:r>
      <w:r>
        <w:rPr>
          <w:rFonts w:cs="Calibri"/>
        </w:rPr>
        <w:t>započet će se u 2019.godini i nastaviti</w:t>
      </w:r>
      <w:r w:rsidR="002C404D" w:rsidRPr="002C404D">
        <w:rPr>
          <w:rFonts w:cs="Calibri"/>
        </w:rPr>
        <w:t xml:space="preserve"> kontinuirano </w:t>
      </w:r>
      <w:r w:rsidR="006F7546" w:rsidRPr="002C404D">
        <w:rPr>
          <w:rFonts w:cs="Calibri"/>
        </w:rPr>
        <w:t>do kraja 2021</w:t>
      </w:r>
      <w:r w:rsidR="002C404D" w:rsidRPr="002C404D">
        <w:rPr>
          <w:rFonts w:cs="Calibri"/>
        </w:rPr>
        <w:t>.godine</w:t>
      </w:r>
    </w:p>
    <w:p w:rsidR="006F7546" w:rsidRPr="005B2E02" w:rsidRDefault="006F7546" w:rsidP="00B47E3F">
      <w:pPr>
        <w:pStyle w:val="ListParagraph"/>
        <w:numPr>
          <w:ilvl w:val="0"/>
          <w:numId w:val="22"/>
        </w:numPr>
        <w:jc w:val="both"/>
        <w:rPr>
          <w:rFonts w:cs="Calibri"/>
          <w:b/>
        </w:rPr>
      </w:pPr>
      <w:r w:rsidRPr="005B2E02">
        <w:rPr>
          <w:rFonts w:cs="Calibri"/>
          <w:b/>
        </w:rPr>
        <w:t>Migracija dijela servera sa fizičke na virtualnu okolinu</w:t>
      </w:r>
    </w:p>
    <w:p w:rsidR="006F7546" w:rsidRPr="006F7546" w:rsidRDefault="006F7546" w:rsidP="00B47E3F">
      <w:pPr>
        <w:pStyle w:val="ListParagraph"/>
        <w:numPr>
          <w:ilvl w:val="0"/>
          <w:numId w:val="24"/>
        </w:numPr>
        <w:jc w:val="both"/>
        <w:rPr>
          <w:rFonts w:cs="Calibri"/>
        </w:rPr>
      </w:pPr>
      <w:r w:rsidRPr="006F7546">
        <w:rPr>
          <w:rFonts w:cs="Calibri"/>
        </w:rPr>
        <w:t>analiza servisa ili sustava za prebacivanje na virtualnu okolinu</w:t>
      </w:r>
    </w:p>
    <w:p w:rsidR="006F7546" w:rsidRPr="006F7546" w:rsidRDefault="006F7546" w:rsidP="00B47E3F">
      <w:pPr>
        <w:pStyle w:val="ListParagraph"/>
        <w:numPr>
          <w:ilvl w:val="0"/>
          <w:numId w:val="24"/>
        </w:numPr>
        <w:jc w:val="both"/>
        <w:rPr>
          <w:rFonts w:cs="Calibri"/>
        </w:rPr>
      </w:pPr>
      <w:r w:rsidRPr="006F7546">
        <w:rPr>
          <w:rFonts w:cs="Calibri"/>
        </w:rPr>
        <w:t>prebacivanje/migracija dijela postojećih sustava serverske produkcijske infrastrukture na virtualnu</w:t>
      </w:r>
    </w:p>
    <w:p w:rsidR="006F7546" w:rsidRPr="006F7546" w:rsidRDefault="006F7546" w:rsidP="00B47E3F">
      <w:pPr>
        <w:pStyle w:val="ListParagraph"/>
        <w:numPr>
          <w:ilvl w:val="0"/>
          <w:numId w:val="24"/>
        </w:numPr>
        <w:jc w:val="both"/>
        <w:rPr>
          <w:rFonts w:cs="Calibri"/>
        </w:rPr>
      </w:pPr>
      <w:r w:rsidRPr="006F7546">
        <w:rPr>
          <w:rFonts w:cs="Calibri"/>
        </w:rPr>
        <w:t>(opcionalno) paralelno prebacivanje testnih sustava i poslovnog sustava na novi diskovni podsustav</w:t>
      </w:r>
    </w:p>
    <w:p w:rsidR="002C404D" w:rsidRPr="002C404D" w:rsidRDefault="002C404D" w:rsidP="002C404D">
      <w:pPr>
        <w:ind w:left="708"/>
        <w:jc w:val="both"/>
        <w:rPr>
          <w:rFonts w:cs="Calibri"/>
        </w:rPr>
      </w:pPr>
      <w:r w:rsidRPr="002C404D">
        <w:rPr>
          <w:rFonts w:cs="Calibri"/>
        </w:rPr>
        <w:t>Navedene aktivnosti odvijat će se tijekom 2019.godine i opcionalno tijekom 2020.godine.</w:t>
      </w:r>
    </w:p>
    <w:p w:rsidR="006F7546" w:rsidRPr="007A598F" w:rsidRDefault="006F7546" w:rsidP="001B55F2">
      <w:pPr>
        <w:jc w:val="both"/>
        <w:rPr>
          <w:rFonts w:cs="Calibri"/>
        </w:rPr>
      </w:pPr>
    </w:p>
    <w:p w:rsidR="00BA36DC" w:rsidRPr="007A598F" w:rsidRDefault="007A136F" w:rsidP="007A136F">
      <w:pPr>
        <w:pStyle w:val="Heading1"/>
        <w:numPr>
          <w:ilvl w:val="1"/>
          <w:numId w:val="36"/>
        </w:numPr>
        <w:jc w:val="both"/>
        <w:rPr>
          <w:rFonts w:ascii="Calibri" w:hAnsi="Calibri" w:cs="Calibri"/>
          <w:sz w:val="28"/>
          <w:szCs w:val="28"/>
        </w:rPr>
      </w:pPr>
      <w:bookmarkStart w:id="23" w:name="_Toc532299626"/>
      <w:r w:rsidRPr="007A598F">
        <w:rPr>
          <w:rFonts w:ascii="Calibri" w:hAnsi="Calibri" w:cs="Calibri"/>
          <w:sz w:val="28"/>
          <w:szCs w:val="28"/>
        </w:rPr>
        <w:t>Optimizacija poslovnih procesa</w:t>
      </w:r>
      <w:bookmarkEnd w:id="23"/>
    </w:p>
    <w:p w:rsidR="00320F66" w:rsidRPr="00320F66" w:rsidRDefault="00BA36DC" w:rsidP="00320F66">
      <w:pPr>
        <w:spacing w:after="0" w:line="240" w:lineRule="auto"/>
        <w:jc w:val="both"/>
        <w:rPr>
          <w:rFonts w:eastAsia="Tahoma" w:cs="Tahoma"/>
        </w:rPr>
      </w:pPr>
      <w:r w:rsidRPr="007A598F">
        <w:rPr>
          <w:rFonts w:eastAsia="Tahoma" w:cs="Tahoma"/>
        </w:rPr>
        <w:t>Kao podrška u provođenju strateških</w:t>
      </w:r>
      <w:r w:rsidR="00320F66">
        <w:rPr>
          <w:rFonts w:eastAsia="Tahoma" w:cs="Tahoma"/>
        </w:rPr>
        <w:t>,</w:t>
      </w:r>
      <w:r w:rsidRPr="007A598F">
        <w:rPr>
          <w:rFonts w:eastAsia="Tahoma" w:cs="Tahoma"/>
        </w:rPr>
        <w:t xml:space="preserve"> ali i operativnih ciljeva, </w:t>
      </w:r>
      <w:r w:rsidR="00320F66">
        <w:rPr>
          <w:rFonts w:eastAsia="Tahoma" w:cs="Tahoma"/>
        </w:rPr>
        <w:t>tijekom 2019. i 2020.godine planirane su sljedeće aktivnosti:</w:t>
      </w:r>
      <w:r w:rsidRPr="007A598F">
        <w:rPr>
          <w:rFonts w:eastAsia="Tahoma" w:cs="Tahoma"/>
        </w:rPr>
        <w:t xml:space="preserve"> </w:t>
      </w:r>
      <w:r w:rsidR="00320F66">
        <w:rPr>
          <w:rFonts w:eastAsia="Tahoma" w:cs="Tahoma"/>
        </w:rPr>
        <w:t xml:space="preserve">  </w:t>
      </w:r>
    </w:p>
    <w:p w:rsidR="00320F66" w:rsidRPr="00320F66" w:rsidRDefault="00320F66" w:rsidP="00B47E3F">
      <w:pPr>
        <w:numPr>
          <w:ilvl w:val="0"/>
          <w:numId w:val="21"/>
        </w:numPr>
        <w:spacing w:after="0" w:line="240" w:lineRule="auto"/>
        <w:jc w:val="both"/>
        <w:rPr>
          <w:rFonts w:eastAsia="Tahoma" w:cs="Tahoma"/>
        </w:rPr>
      </w:pPr>
      <w:r w:rsidRPr="00320F66">
        <w:rPr>
          <w:rFonts w:eastAsia="Tahoma" w:cs="Tahoma"/>
        </w:rPr>
        <w:t>Snimka ključnih poslovnih procesa Društva te stvaranje repozitorija poslovnih procesa</w:t>
      </w:r>
    </w:p>
    <w:p w:rsidR="00320F66" w:rsidRPr="00320F66" w:rsidRDefault="00320F66" w:rsidP="00B47E3F">
      <w:pPr>
        <w:numPr>
          <w:ilvl w:val="0"/>
          <w:numId w:val="21"/>
        </w:numPr>
        <w:spacing w:after="0" w:line="240" w:lineRule="auto"/>
        <w:jc w:val="both"/>
        <w:rPr>
          <w:rFonts w:eastAsia="Tahoma" w:cs="Tahoma"/>
        </w:rPr>
      </w:pPr>
      <w:r w:rsidRPr="00320F66">
        <w:rPr>
          <w:rFonts w:eastAsia="Tahoma" w:cs="Tahoma"/>
        </w:rPr>
        <w:t>Definiranje procesa za dubinsko unapređenje (1 do maksimalno 3) nakon provedene Snimke – u skladu s prioritetima koje definira Uprava</w:t>
      </w:r>
    </w:p>
    <w:p w:rsidR="00320F66" w:rsidRPr="00320F66" w:rsidRDefault="00320F66" w:rsidP="00B47E3F">
      <w:pPr>
        <w:numPr>
          <w:ilvl w:val="0"/>
          <w:numId w:val="21"/>
        </w:numPr>
        <w:spacing w:after="0" w:line="240" w:lineRule="auto"/>
        <w:jc w:val="both"/>
        <w:rPr>
          <w:rFonts w:eastAsia="Tahoma" w:cs="Tahoma"/>
        </w:rPr>
      </w:pPr>
      <w:r w:rsidRPr="00320F66">
        <w:rPr>
          <w:rFonts w:eastAsia="Tahoma" w:cs="Tahoma"/>
        </w:rPr>
        <w:t>Aktivna podrška voditelja razvoja procesa unutar projekta implementacije Nove platforme</w:t>
      </w:r>
    </w:p>
    <w:p w:rsidR="00320F66" w:rsidRPr="00320F66" w:rsidRDefault="00320F66" w:rsidP="00B47E3F">
      <w:pPr>
        <w:numPr>
          <w:ilvl w:val="0"/>
          <w:numId w:val="21"/>
        </w:numPr>
        <w:spacing w:after="0" w:line="240" w:lineRule="auto"/>
        <w:jc w:val="both"/>
        <w:rPr>
          <w:rFonts w:eastAsia="Tahoma" w:cs="Tahoma"/>
        </w:rPr>
      </w:pPr>
      <w:r w:rsidRPr="00320F66">
        <w:rPr>
          <w:rFonts w:eastAsia="Tahoma" w:cs="Tahoma"/>
        </w:rPr>
        <w:t>Unapređenje procesa unutar Prodaje putem Analize kapaciteta zaposlenika na 10% prodajnih mjesta te realizacija preporuka Analize</w:t>
      </w:r>
    </w:p>
    <w:p w:rsidR="00320F66" w:rsidRPr="00320F66" w:rsidRDefault="00320F66" w:rsidP="00B47E3F">
      <w:pPr>
        <w:numPr>
          <w:ilvl w:val="0"/>
          <w:numId w:val="21"/>
        </w:numPr>
        <w:spacing w:after="0" w:line="240" w:lineRule="auto"/>
        <w:jc w:val="both"/>
        <w:rPr>
          <w:rFonts w:eastAsia="Tahoma" w:cs="Tahoma"/>
        </w:rPr>
      </w:pPr>
      <w:r w:rsidRPr="00320F66">
        <w:rPr>
          <w:rFonts w:eastAsia="Tahoma" w:cs="Tahoma"/>
        </w:rPr>
        <w:t>Interne radionice unutar Društva u svrhu podizanja razine razumijevanja važnosti upravljanja procesima te odgovarajućih benefita za Društvo</w:t>
      </w:r>
    </w:p>
    <w:p w:rsidR="001D7BAF" w:rsidRPr="007A598F" w:rsidRDefault="007A136F" w:rsidP="007A136F">
      <w:pPr>
        <w:pStyle w:val="Heading1"/>
        <w:numPr>
          <w:ilvl w:val="1"/>
          <w:numId w:val="36"/>
        </w:numPr>
        <w:jc w:val="both"/>
        <w:rPr>
          <w:rFonts w:ascii="Calibri" w:hAnsi="Calibri" w:cs="Calibri"/>
          <w:sz w:val="28"/>
          <w:szCs w:val="28"/>
        </w:rPr>
      </w:pPr>
      <w:bookmarkStart w:id="24" w:name="_Toc532299627"/>
      <w:r w:rsidRPr="007A598F">
        <w:rPr>
          <w:rFonts w:ascii="Calibri" w:hAnsi="Calibri" w:cs="Calibri"/>
          <w:sz w:val="28"/>
          <w:szCs w:val="28"/>
        </w:rPr>
        <w:lastRenderedPageBreak/>
        <w:t>Unaprjeđenje sustava financijskog upravljanja i kontrola</w:t>
      </w:r>
      <w:bookmarkEnd w:id="24"/>
    </w:p>
    <w:p w:rsidR="001D7BAF" w:rsidRPr="007A598F" w:rsidRDefault="001D7BAF" w:rsidP="001D7BAF">
      <w:pPr>
        <w:spacing w:after="0" w:line="240" w:lineRule="auto"/>
        <w:jc w:val="both"/>
        <w:rPr>
          <w:rFonts w:eastAsia="Tahoma" w:cs="Tahoma"/>
        </w:rPr>
      </w:pPr>
      <w:r w:rsidRPr="007A598F">
        <w:rPr>
          <w:rFonts w:eastAsia="Tahoma" w:cs="Tahoma"/>
        </w:rPr>
        <w:t xml:space="preserve">U skladu sa Zakonom o sustavu unutarnjih kontrola u javnom sektoru, Zakonom o fiskalnoj odgovornosti, ostalim povezanim zakonima i odredbama te Međunarodnim računovodstvenim standardima, </w:t>
      </w:r>
      <w:r w:rsidR="00CB05AE">
        <w:rPr>
          <w:rFonts w:eastAsia="Tahoma" w:cs="Tahoma"/>
        </w:rPr>
        <w:t>Hrvatska Lutrije</w:t>
      </w:r>
      <w:r w:rsidRPr="007A598F">
        <w:rPr>
          <w:rFonts w:eastAsia="Tahoma" w:cs="Tahoma"/>
        </w:rPr>
        <w:t xml:space="preserve"> </w:t>
      </w:r>
      <w:r w:rsidR="00C8142C">
        <w:rPr>
          <w:rFonts w:eastAsia="Tahoma" w:cs="Tahoma"/>
        </w:rPr>
        <w:t xml:space="preserve">će </w:t>
      </w:r>
      <w:r w:rsidRPr="007A598F">
        <w:rPr>
          <w:rFonts w:eastAsia="Tahoma" w:cs="Tahoma"/>
        </w:rPr>
        <w:t>kontinuirano provoditi mjere i aktivnosti u cilju zakonitog, namjenskog i svrsishodnog korištenja financijskih sredstava, te jačanja sustava kontrola i nadzora radi osiguranja fiskalne odgovornosti.</w:t>
      </w:r>
    </w:p>
    <w:p w:rsidR="005E16BA" w:rsidRDefault="005E16BA" w:rsidP="005E16BA">
      <w:pPr>
        <w:spacing w:after="0" w:line="240" w:lineRule="auto"/>
        <w:jc w:val="both"/>
        <w:rPr>
          <w:rFonts w:eastAsia="Tahoma" w:cs="Tahoma"/>
        </w:rPr>
      </w:pPr>
    </w:p>
    <w:p w:rsidR="005E16BA" w:rsidRPr="005E16BA" w:rsidRDefault="005E16BA" w:rsidP="005E16BA">
      <w:pPr>
        <w:spacing w:after="0" w:line="240" w:lineRule="auto"/>
        <w:jc w:val="both"/>
        <w:rPr>
          <w:rFonts w:eastAsia="Tahoma" w:cs="Tahoma"/>
        </w:rPr>
      </w:pPr>
      <w:r w:rsidRPr="005E16BA">
        <w:rPr>
          <w:rFonts w:eastAsia="Tahoma" w:cs="Tahoma"/>
        </w:rPr>
        <w:t>Jedan od preduvjeta za kvalitetan i učinkovit sustav unutarnjih kontrola svakako je i kvalitetan računovodstveni sustav koji će se osigurati kroz kontinuirani rad na poboljšanju postojećih i uvođenju novih funkcionalnosti  kako bi se osigurale kvalitetne, točne i pravodobne informacije koje su potrebne menadžmentu Društva za donošenje poslovnih odluka.</w:t>
      </w:r>
    </w:p>
    <w:p w:rsidR="00993CCA" w:rsidRDefault="005E16BA" w:rsidP="005E16BA">
      <w:pPr>
        <w:spacing w:after="0" w:line="240" w:lineRule="auto"/>
        <w:jc w:val="both"/>
        <w:rPr>
          <w:rFonts w:eastAsia="Tahoma" w:cs="Tahoma"/>
        </w:rPr>
      </w:pPr>
      <w:r w:rsidRPr="005E16BA">
        <w:rPr>
          <w:rFonts w:eastAsia="Tahoma" w:cs="Tahoma"/>
        </w:rPr>
        <w:t xml:space="preserve">Drugi, ne manje važan preduvjet za realizaciju </w:t>
      </w:r>
      <w:r>
        <w:rPr>
          <w:rFonts w:eastAsia="Tahoma" w:cs="Tahoma"/>
        </w:rPr>
        <w:t xml:space="preserve">ovog </w:t>
      </w:r>
      <w:r w:rsidRPr="005E16BA">
        <w:rPr>
          <w:rFonts w:eastAsia="Tahoma" w:cs="Tahoma"/>
        </w:rPr>
        <w:t>cilja  je kontinuirano provođenje edukacije svih dionika uključenih u poslovne procese s ciljem podizanja razine svijesti  o važnosti uspostave kvalitetnog sustava financijskog upravljanja i kontrole. Uspješnost provedbe cilja mjerit će se kroz provođenje evaluacija o postignutim učincima razvoja financijskog upravljanja i kontrole u Društvu (kroz izradu anketnih upitnika, intervjua i sl.).</w:t>
      </w:r>
    </w:p>
    <w:p w:rsidR="005E16BA" w:rsidRPr="007A598F" w:rsidRDefault="005E16BA" w:rsidP="005E16BA">
      <w:pPr>
        <w:spacing w:after="0" w:line="240" w:lineRule="auto"/>
        <w:jc w:val="both"/>
        <w:rPr>
          <w:rFonts w:eastAsia="Tahoma" w:cs="Tahoma"/>
        </w:rPr>
      </w:pPr>
      <w:r>
        <w:rPr>
          <w:rFonts w:eastAsia="Tahoma" w:cs="Tahoma"/>
        </w:rPr>
        <w:t>Planirana je izrada</w:t>
      </w:r>
      <w:r w:rsidRPr="005E16BA">
        <w:rPr>
          <w:rFonts w:eastAsia="Tahoma" w:cs="Tahoma"/>
        </w:rPr>
        <w:t xml:space="preserve"> </w:t>
      </w:r>
      <w:r w:rsidRPr="005E16BA">
        <w:rPr>
          <w:rFonts w:eastAsia="Tahoma" w:cs="Tahoma"/>
          <w:b/>
          <w:i/>
        </w:rPr>
        <w:t>Priručnik</w:t>
      </w:r>
      <w:r>
        <w:rPr>
          <w:rFonts w:eastAsia="Tahoma" w:cs="Tahoma"/>
          <w:b/>
          <w:i/>
        </w:rPr>
        <w:t>a</w:t>
      </w:r>
      <w:r w:rsidRPr="005E16BA">
        <w:rPr>
          <w:rFonts w:eastAsia="Tahoma" w:cs="Tahoma"/>
          <w:b/>
          <w:i/>
        </w:rPr>
        <w:t xml:space="preserve"> o provođenju sustava unutarnjih kontrola u Hrvatskoj Lutriji d.o.o.</w:t>
      </w:r>
      <w:r>
        <w:rPr>
          <w:rFonts w:eastAsia="Tahoma" w:cs="Tahoma"/>
        </w:rPr>
        <w:t xml:space="preserve"> kako bi </w:t>
      </w:r>
      <w:r w:rsidRPr="005E16BA">
        <w:rPr>
          <w:rFonts w:eastAsia="Tahoma" w:cs="Tahoma"/>
        </w:rPr>
        <w:t xml:space="preserve">svim dionicima u poslovnim procesima </w:t>
      </w:r>
      <w:r>
        <w:rPr>
          <w:rFonts w:eastAsia="Tahoma" w:cs="Tahoma"/>
        </w:rPr>
        <w:t xml:space="preserve">približili </w:t>
      </w:r>
      <w:r w:rsidRPr="005E16BA">
        <w:rPr>
          <w:rFonts w:eastAsia="Tahoma" w:cs="Tahoma"/>
        </w:rPr>
        <w:t>značaj i važnost sustava unutarnjih kontrola kao i njihovu ulogu u svakom pojedinom procesu.</w:t>
      </w:r>
    </w:p>
    <w:p w:rsidR="008C423D" w:rsidRPr="007A598F" w:rsidRDefault="007A136F" w:rsidP="007A136F">
      <w:pPr>
        <w:pStyle w:val="Heading1"/>
        <w:numPr>
          <w:ilvl w:val="1"/>
          <w:numId w:val="36"/>
        </w:numPr>
        <w:jc w:val="both"/>
        <w:rPr>
          <w:rFonts w:ascii="Calibri" w:hAnsi="Calibri" w:cs="Calibri"/>
          <w:sz w:val="28"/>
          <w:szCs w:val="28"/>
        </w:rPr>
      </w:pPr>
      <w:bookmarkStart w:id="25" w:name="_Toc532299628"/>
      <w:r w:rsidRPr="007A598F">
        <w:rPr>
          <w:rFonts w:ascii="Calibri" w:hAnsi="Calibri" w:cs="Calibri"/>
          <w:sz w:val="28"/>
          <w:szCs w:val="28"/>
        </w:rPr>
        <w:t>Unaprjeđenje procesa upravljanja ljudskim potencijalima i njihovim razvojem</w:t>
      </w:r>
      <w:bookmarkEnd w:id="25"/>
    </w:p>
    <w:p w:rsidR="00302A4C" w:rsidRDefault="002D4E13" w:rsidP="00302A4C">
      <w:pPr>
        <w:jc w:val="both"/>
      </w:pPr>
      <w:r w:rsidRPr="007A598F">
        <w:t>Za ostvarenje strategije društva, za razvoj i ostvarenje svih op</w:t>
      </w:r>
      <w:r w:rsidR="00302A4C">
        <w:t xml:space="preserve">erativnih ciljeva neophodno je </w:t>
      </w:r>
      <w:r w:rsidRPr="007A598F">
        <w:t xml:space="preserve">unaprjeđenje procesa upravljanja ljudskim potencijalima, unaprjeđenja znanja i vještina radnika, razvoj kompetencija, upravljanje učinkom i talentima. Ulaganjem u stručno usavršavanje i razvoj </w:t>
      </w:r>
      <w:r w:rsidR="003D57B2" w:rsidRPr="007A598F">
        <w:t xml:space="preserve"> </w:t>
      </w:r>
      <w:r w:rsidRPr="007A598F">
        <w:t xml:space="preserve">zaposlenika, Društvo je usmjereno na stalno usavršavanje zaposlenika u smislu razvijanja njihovih stručnih znanja i kompetencija. </w:t>
      </w:r>
    </w:p>
    <w:p w:rsidR="00302A4C" w:rsidRPr="00302A4C" w:rsidRDefault="00302A4C" w:rsidP="00302A4C">
      <w:pPr>
        <w:jc w:val="both"/>
      </w:pPr>
      <w:r w:rsidRPr="00302A4C">
        <w:t>Nekoliko je preduvjeta za učinkovitije upravljanje ljudskim potencijalima Društva od kojih navodimo:</w:t>
      </w:r>
      <w:r w:rsidRPr="00302A4C">
        <w:br/>
      </w:r>
    </w:p>
    <w:p w:rsidR="00302A4C" w:rsidRPr="00302A4C" w:rsidRDefault="00302A4C" w:rsidP="00293EFB">
      <w:pPr>
        <w:pStyle w:val="ListParagraph"/>
        <w:numPr>
          <w:ilvl w:val="0"/>
          <w:numId w:val="22"/>
        </w:numPr>
        <w:jc w:val="both"/>
      </w:pPr>
      <w:r w:rsidRPr="00293EFB">
        <w:rPr>
          <w:b/>
        </w:rPr>
        <w:t>selekcija i zapošljavanje</w:t>
      </w:r>
      <w:r w:rsidRPr="00302A4C">
        <w:t xml:space="preserve"> - učinkovitije upravljanje brojem i strukturom zaposlenika - planiranje broja zaposlenika temeljem poslovnih planova organizacijskih jedinica, usklađenih sa Strategijom Društva i njihovih potreba za određenim brojem odgovarajućih kadrova kao podlogu za planiranje aktivnosti selekcije i zapošljavanja te svih relevantnih troškova.</w:t>
      </w:r>
    </w:p>
    <w:p w:rsidR="00302A4C" w:rsidRPr="00302A4C" w:rsidRDefault="00302A4C" w:rsidP="00293EFB">
      <w:pPr>
        <w:pStyle w:val="ListParagraph"/>
        <w:numPr>
          <w:ilvl w:val="0"/>
          <w:numId w:val="22"/>
        </w:numPr>
        <w:jc w:val="both"/>
      </w:pPr>
      <w:r w:rsidRPr="00293EFB">
        <w:rPr>
          <w:b/>
        </w:rPr>
        <w:t xml:space="preserve">edukacija zaposlenika - </w:t>
      </w:r>
      <w:r w:rsidRPr="00302A4C">
        <w:t xml:space="preserve">Ulaganje u stručno usavršavanje i razvoj  zaposlenika s ciljem stalnog usavršavanja, razvijanja njihovih stručnih znanja i kompetencija koje su neophodne za uspješno izvršavanje radnih zadataka. Fokus u 2019. godini biti će na edukaciji rukovodećeg kadra te značajnim aktivnostima u prodajnoj mreži s naglaskom na podizanje kompetencija prodavača, što će operativno voditi Sektor prodaje u suradnji s timom Službe ljudskih potencijala. Naglasak će biti stavljen na aktiviranje e-learninga i  time dostupnosti edukacije svim zaposlenicima a nastavit će se na  razvoju i brendiranju HL akademije kao internog branda. Osnovni cilj je povećati </w:t>
      </w:r>
      <w:r w:rsidRPr="00302A4C">
        <w:lastRenderedPageBreak/>
        <w:t xml:space="preserve">dostupnost što većem broju zaposlenika, povećati kvalitetu edukacija što će u konačnici rezultirati povećanjem razine stručnih znanja, budućim smanjenjem troškova edukacije i većem zadovoljstvu zaposlenika. </w:t>
      </w:r>
    </w:p>
    <w:p w:rsidR="00302A4C" w:rsidRPr="00302A4C" w:rsidRDefault="00302A4C" w:rsidP="00293EFB">
      <w:pPr>
        <w:pStyle w:val="ListParagraph"/>
        <w:numPr>
          <w:ilvl w:val="0"/>
          <w:numId w:val="22"/>
        </w:numPr>
        <w:jc w:val="both"/>
      </w:pPr>
      <w:r w:rsidRPr="00293EFB">
        <w:rPr>
          <w:b/>
        </w:rPr>
        <w:t>razvoj i upravljanje talentima</w:t>
      </w:r>
      <w:r w:rsidRPr="00302A4C">
        <w:t xml:space="preserve"> - Procjenu potencijala kroz „gejmifikaciju“ -  u cilju utvrđivanja potencijala zaposlenika za napredovanje, te područja za daljnji profesionalni razvoj planira se organizirati procjena kroz „gejmifikaciju“ za rukovodeći kadar i talente. Procjena će se vršiti putem online platforme gdje će ispitanici „igrati“ određene igre te će se na temelju njihovog ponašanje, odrediti njihov profil, afiniteti i potencijal. Svrha ovog načina procjene je identifikacija talenata bez svjesne samoprocjene zaposlenika. Drugim riječima, prepoznavanje talenata kroz gejmificirani način omogućuje da zaposlenici igrajući igre, iskreno i s natjecateljskim duhom, otvorenije pristupe sukobima i problemima koje bi inače u svakodnevnom poslu možda izbjegli. Procjena putem gejmifikacije daje zaposlenicima mogućnost dati pravu sliku sebe</w:t>
      </w:r>
      <w:r>
        <w:t>,</w:t>
      </w:r>
      <w:r w:rsidRPr="00302A4C">
        <w:t xml:space="preserve"> a management može dobiti kvalitetne povratne informacije o talentima i vidjeti u kojem smjeru i području talent dalje treba razvijati. Koristi se množe  kako za Društvu tako za zaposlenika koji će biti zadovoljniji, efikasniji i produktivniji na poslu. Ovaj izravan i zabavan pristup kroz igru  ​daje savršenu procjenu za bolje razumijevanje talenata</w:t>
      </w:r>
      <w:r>
        <w:t xml:space="preserve"> </w:t>
      </w:r>
      <w:r w:rsidRPr="00302A4C">
        <w:t xml:space="preserve">i vještina potencijalnih zaposlenika. </w:t>
      </w:r>
    </w:p>
    <w:p w:rsidR="00302A4C" w:rsidRPr="00293EFB" w:rsidRDefault="00302A4C" w:rsidP="00293EFB">
      <w:pPr>
        <w:pStyle w:val="ListParagraph"/>
        <w:numPr>
          <w:ilvl w:val="0"/>
          <w:numId w:val="22"/>
        </w:numPr>
        <w:jc w:val="both"/>
        <w:rPr>
          <w:b/>
        </w:rPr>
      </w:pPr>
      <w:r w:rsidRPr="00293EFB">
        <w:rPr>
          <w:b/>
        </w:rPr>
        <w:t xml:space="preserve">razvoj sustava vrednovanja radnog učinka - </w:t>
      </w:r>
      <w:r w:rsidRPr="00302A4C">
        <w:t>Uvođenjem sustava mjerenja radnog učinka promijenjen je način stimuliranja zaposlenika, te praćenjem smjernica razvoja Društva treba prilagođavati KPI-eve istima. Na taj način Društvo želi poticati timsko djelovanje, stimulirati izvrsnost, i poticati usmjerenost na rezultat. Služba ljudskih potencijala nositelj je procesa izrade pravilnika, kao i procjene njegove učinkovitost</w:t>
      </w:r>
    </w:p>
    <w:p w:rsidR="002D4E13" w:rsidRPr="007A598F" w:rsidRDefault="002D4E13" w:rsidP="002D4E13">
      <w:pPr>
        <w:tabs>
          <w:tab w:val="right" w:pos="-3261"/>
          <w:tab w:val="left" w:pos="142"/>
          <w:tab w:val="right" w:pos="8364"/>
        </w:tabs>
        <w:ind w:left="-142"/>
        <w:jc w:val="both"/>
      </w:pPr>
    </w:p>
    <w:p w:rsidR="00BA36DC" w:rsidRPr="007A598F" w:rsidRDefault="007A136F" w:rsidP="007A136F">
      <w:pPr>
        <w:pStyle w:val="Heading1"/>
        <w:numPr>
          <w:ilvl w:val="1"/>
          <w:numId w:val="36"/>
        </w:numPr>
        <w:jc w:val="both"/>
        <w:rPr>
          <w:rFonts w:ascii="Calibri" w:hAnsi="Calibri" w:cs="Calibri"/>
          <w:sz w:val="28"/>
          <w:szCs w:val="28"/>
        </w:rPr>
      </w:pPr>
      <w:bookmarkStart w:id="26" w:name="_Toc532299629"/>
      <w:bookmarkStart w:id="27" w:name="_Hlk500317053"/>
      <w:r>
        <w:rPr>
          <w:rFonts w:ascii="Calibri" w:hAnsi="Calibri" w:cs="Calibri"/>
          <w:sz w:val="28"/>
          <w:szCs w:val="28"/>
        </w:rPr>
        <w:t>Društveno odgovorno poslovanje</w:t>
      </w:r>
      <w:r w:rsidRPr="007A598F">
        <w:rPr>
          <w:rFonts w:ascii="Calibri" w:hAnsi="Calibri" w:cs="Calibri"/>
          <w:sz w:val="28"/>
          <w:szCs w:val="28"/>
        </w:rPr>
        <w:t xml:space="preserve"> (</w:t>
      </w:r>
      <w:r>
        <w:rPr>
          <w:rFonts w:ascii="Calibri" w:hAnsi="Calibri" w:cs="Calibri"/>
          <w:sz w:val="28"/>
          <w:szCs w:val="28"/>
        </w:rPr>
        <w:t>DOP</w:t>
      </w:r>
      <w:r w:rsidRPr="007A598F">
        <w:rPr>
          <w:rFonts w:ascii="Calibri" w:hAnsi="Calibri" w:cs="Calibri"/>
          <w:sz w:val="28"/>
          <w:szCs w:val="28"/>
        </w:rPr>
        <w:t>)</w:t>
      </w:r>
      <w:bookmarkEnd w:id="26"/>
    </w:p>
    <w:p w:rsidR="006F2062" w:rsidRDefault="006F2062" w:rsidP="006F2062">
      <w:pPr>
        <w:tabs>
          <w:tab w:val="right" w:pos="-3261"/>
          <w:tab w:val="left" w:pos="142"/>
          <w:tab w:val="right" w:pos="8364"/>
        </w:tabs>
        <w:ind w:left="-142"/>
        <w:jc w:val="both"/>
      </w:pPr>
    </w:p>
    <w:p w:rsidR="006F2062" w:rsidRDefault="006F2062" w:rsidP="006F2062">
      <w:pPr>
        <w:tabs>
          <w:tab w:val="right" w:pos="-3261"/>
          <w:tab w:val="left" w:pos="142"/>
          <w:tab w:val="right" w:pos="8364"/>
        </w:tabs>
        <w:ind w:left="-142"/>
        <w:jc w:val="both"/>
      </w:pPr>
      <w:r w:rsidRPr="006F2062">
        <w:t>S obzirom da je Hrvatska Lutrija u potpunom vlasništvu RH, izuzetni značaj se usmjerava prema javnom interesu i javnom zdravlju, opredjeljujući se za održivi rast i društveno odgovorno poslovanje. Odgovorno priređivanje igara na sreću ključni je element društveno odgovornog poslovanja Hrvatske Lutrije i jedan od zacrtanih prioriteta. Poslovni procesi usmjeravaju se prema korporativnoj odgovornosti, a usklađenost s njima definira se kroz certifikate o usklađenosti sa standardima odgovornog priređivanja igara na sreću krovnih lutrijskih organizacija The European Lotteries i The World Lottery Association. U današnjoj industriji igara na sreću Standardi odgovornog priređivanja igara međunarodno su prihvaćeni normativi, a europski i svjetski Certifikati dodijeljeni od krovnih lutrijskih organizacija potvrda su najvećih postignuća nacionalnih priređivača na području odgovornog priređivanja i distribucije igara na sreću</w:t>
      </w:r>
      <w:r>
        <w:t>.</w:t>
      </w:r>
    </w:p>
    <w:p w:rsidR="006F2062" w:rsidRPr="006F2062" w:rsidRDefault="006F2062" w:rsidP="006F2062">
      <w:pPr>
        <w:tabs>
          <w:tab w:val="right" w:pos="-3261"/>
          <w:tab w:val="left" w:pos="142"/>
          <w:tab w:val="right" w:pos="8364"/>
        </w:tabs>
        <w:ind w:left="-142"/>
        <w:jc w:val="both"/>
      </w:pPr>
      <w:r w:rsidRPr="006F2062">
        <w:t xml:space="preserve">Plan aktivnosti društveno odgovornog priređivanja igara na sreću za 2019.god. utemeljen je na viziji i misiji kompanije, te na sljedećim ključnim strateškim i operativnim dokumentima: </w:t>
      </w:r>
    </w:p>
    <w:p w:rsidR="006F2062" w:rsidRPr="006F2062" w:rsidRDefault="006F2062" w:rsidP="006F2062">
      <w:pPr>
        <w:tabs>
          <w:tab w:val="right" w:pos="-3261"/>
          <w:tab w:val="left" w:pos="142"/>
          <w:tab w:val="right" w:pos="8364"/>
        </w:tabs>
        <w:ind w:left="-142"/>
        <w:jc w:val="both"/>
      </w:pPr>
    </w:p>
    <w:p w:rsidR="006F2062" w:rsidRPr="006F2062" w:rsidRDefault="006F2062" w:rsidP="006F2062">
      <w:pPr>
        <w:tabs>
          <w:tab w:val="right" w:pos="-3261"/>
          <w:tab w:val="left" w:pos="142"/>
          <w:tab w:val="right" w:pos="8364"/>
        </w:tabs>
        <w:ind w:left="-142"/>
        <w:jc w:val="both"/>
      </w:pPr>
      <w:r w:rsidRPr="006F2062">
        <w:t>• Zakon o igrama na sreću te njemu pripadajući Pravilnici</w:t>
      </w:r>
    </w:p>
    <w:p w:rsidR="006F2062" w:rsidRPr="006F2062" w:rsidRDefault="006F2062" w:rsidP="006F2062">
      <w:pPr>
        <w:tabs>
          <w:tab w:val="right" w:pos="-3261"/>
          <w:tab w:val="left" w:pos="142"/>
          <w:tab w:val="right" w:pos="8364"/>
        </w:tabs>
        <w:ind w:left="-142"/>
        <w:jc w:val="both"/>
      </w:pPr>
      <w:r w:rsidRPr="006F2062">
        <w:t>• 11 elemenata standarda odgovornog priređivanja igara na sreću EL/WLA</w:t>
      </w:r>
    </w:p>
    <w:p w:rsidR="006F2062" w:rsidRPr="006F2062" w:rsidRDefault="006F2062" w:rsidP="006F2062">
      <w:pPr>
        <w:tabs>
          <w:tab w:val="right" w:pos="-3261"/>
          <w:tab w:val="left" w:pos="142"/>
          <w:tab w:val="right" w:pos="8364"/>
        </w:tabs>
        <w:ind w:left="-142"/>
        <w:jc w:val="both"/>
      </w:pPr>
      <w:r w:rsidRPr="006F2062">
        <w:t>• Politika društveno odgovornog priređivanja igara na sreć</w:t>
      </w:r>
      <w:r w:rsidR="00CB05AE">
        <w:t>u Hrvatske Lutrije</w:t>
      </w:r>
    </w:p>
    <w:p w:rsidR="006F2062" w:rsidRPr="006F2062" w:rsidRDefault="006F2062" w:rsidP="006F2062">
      <w:pPr>
        <w:tabs>
          <w:tab w:val="right" w:pos="-3261"/>
          <w:tab w:val="left" w:pos="142"/>
          <w:tab w:val="right" w:pos="8364"/>
        </w:tabs>
        <w:ind w:left="-142"/>
        <w:jc w:val="both"/>
      </w:pPr>
      <w:r w:rsidRPr="006F2062">
        <w:t>• Akcijski plan DOP-a</w:t>
      </w:r>
    </w:p>
    <w:p w:rsidR="006F2062" w:rsidRPr="006F2062" w:rsidRDefault="006F2062" w:rsidP="006F2062">
      <w:pPr>
        <w:tabs>
          <w:tab w:val="right" w:pos="-3261"/>
          <w:tab w:val="left" w:pos="142"/>
          <w:tab w:val="right" w:pos="8364"/>
        </w:tabs>
        <w:ind w:left="-142"/>
        <w:jc w:val="both"/>
      </w:pPr>
      <w:r w:rsidRPr="006F2062">
        <w:t xml:space="preserve">• Opća </w:t>
      </w:r>
      <w:r w:rsidR="00CB05AE">
        <w:t>pravila sudjelovanja u igrama Hrvatske Lutrije</w:t>
      </w:r>
      <w:r w:rsidRPr="006F2062">
        <w:t xml:space="preserve"> putem interneta</w:t>
      </w:r>
    </w:p>
    <w:p w:rsidR="006F2062" w:rsidRPr="006F2062" w:rsidRDefault="00CB05AE" w:rsidP="006F2062">
      <w:pPr>
        <w:tabs>
          <w:tab w:val="right" w:pos="-3261"/>
          <w:tab w:val="left" w:pos="142"/>
          <w:tab w:val="right" w:pos="8364"/>
        </w:tabs>
        <w:ind w:left="-142"/>
        <w:jc w:val="both"/>
      </w:pPr>
      <w:r>
        <w:t>• Izvještaj ocjene za Hrvatsku Lutriju</w:t>
      </w:r>
      <w:r w:rsidR="006F2062" w:rsidRPr="006F2062">
        <w:t xml:space="preserve"> revizorske kuće SIQ Croatia d.o.o.(studeni 2017.god.) s obzirom na zahtjeve certifikacijskog okvira odgovornog priređivanja igara razvijenog od strane European Lotteries i Toto Association (EL)</w:t>
      </w:r>
    </w:p>
    <w:p w:rsidR="006F2062" w:rsidRPr="006F2062" w:rsidRDefault="006F2062" w:rsidP="006F2062">
      <w:pPr>
        <w:tabs>
          <w:tab w:val="right" w:pos="-3261"/>
          <w:tab w:val="left" w:pos="142"/>
          <w:tab w:val="right" w:pos="8364"/>
        </w:tabs>
        <w:ind w:left="-142"/>
        <w:jc w:val="both"/>
      </w:pPr>
    </w:p>
    <w:p w:rsidR="006F2062" w:rsidRPr="006F2062" w:rsidRDefault="006F2062" w:rsidP="006F2062">
      <w:pPr>
        <w:tabs>
          <w:tab w:val="right" w:pos="-3261"/>
          <w:tab w:val="left" w:pos="142"/>
          <w:tab w:val="right" w:pos="8364"/>
        </w:tabs>
        <w:ind w:left="-142"/>
        <w:jc w:val="both"/>
      </w:pPr>
      <w:r w:rsidRPr="006F2062">
        <w:t xml:space="preserve">Projekt implementacije i diseminacije programa prevencije kockanja mladih „Tko zapravo pobjeđuje“ s Edukacijsko-rehabilitacijskim fakultetom nastavlja se i u 2019. g., a koji je od velikog značaja obzirom na zabrinjavajuću prevalenciju kockanja u adolescenata koja je utvrđena istraživanjima ERF-a provedenim 2010.god. </w:t>
      </w:r>
    </w:p>
    <w:p w:rsidR="006F2062" w:rsidRPr="006F2062" w:rsidRDefault="006F2062" w:rsidP="006F2062">
      <w:pPr>
        <w:tabs>
          <w:tab w:val="right" w:pos="-3261"/>
          <w:tab w:val="left" w:pos="142"/>
          <w:tab w:val="right" w:pos="8364"/>
        </w:tabs>
        <w:ind w:left="-142"/>
        <w:jc w:val="both"/>
      </w:pPr>
      <w:r w:rsidRPr="006F2062">
        <w:t xml:space="preserve">Podizanje ugleda Hrvatske Lutrije kao odgovornog priređivača igara na sreću kao i svijesti o problemima povezanim s prekomjernim igranjem te senzibiliziranje javnosti i dionika. Poticanje i pomaganje istraživanja i studija kao i sudjelovanje u seminarima, konferencijama i edukacijama, te podržavanje EL u radu na društveno odgovornom priređivanju igara. </w:t>
      </w:r>
    </w:p>
    <w:p w:rsidR="006F2062" w:rsidRPr="006F2062" w:rsidRDefault="006F2062" w:rsidP="006F2062">
      <w:pPr>
        <w:tabs>
          <w:tab w:val="right" w:pos="-3261"/>
          <w:tab w:val="left" w:pos="142"/>
          <w:tab w:val="right" w:pos="8364"/>
        </w:tabs>
        <w:ind w:left="-142"/>
        <w:jc w:val="both"/>
      </w:pPr>
    </w:p>
    <w:p w:rsidR="007F4173" w:rsidRDefault="007F4173" w:rsidP="007F4173">
      <w:pPr>
        <w:tabs>
          <w:tab w:val="right" w:pos="-3261"/>
          <w:tab w:val="left" w:pos="142"/>
          <w:tab w:val="right" w:pos="8364"/>
        </w:tabs>
        <w:ind w:left="-142"/>
        <w:jc w:val="both"/>
      </w:pPr>
    </w:p>
    <w:p w:rsidR="00BA29A6" w:rsidRDefault="00BA29A6" w:rsidP="007F4173">
      <w:pPr>
        <w:tabs>
          <w:tab w:val="right" w:pos="-3261"/>
          <w:tab w:val="left" w:pos="142"/>
          <w:tab w:val="right" w:pos="8364"/>
        </w:tabs>
        <w:ind w:left="-142"/>
        <w:jc w:val="both"/>
      </w:pPr>
    </w:p>
    <w:p w:rsidR="006B4D69" w:rsidRDefault="006B4D69" w:rsidP="007F4173">
      <w:pPr>
        <w:tabs>
          <w:tab w:val="right" w:pos="-3261"/>
          <w:tab w:val="left" w:pos="142"/>
          <w:tab w:val="right" w:pos="8364"/>
        </w:tabs>
        <w:ind w:left="-142"/>
        <w:jc w:val="both"/>
      </w:pPr>
    </w:p>
    <w:p w:rsidR="006B4D69" w:rsidRDefault="006B4D69" w:rsidP="007F4173">
      <w:pPr>
        <w:tabs>
          <w:tab w:val="right" w:pos="-3261"/>
          <w:tab w:val="left" w:pos="142"/>
          <w:tab w:val="right" w:pos="8364"/>
        </w:tabs>
        <w:ind w:left="-142"/>
        <w:jc w:val="both"/>
      </w:pPr>
    </w:p>
    <w:p w:rsidR="006B4D69" w:rsidRDefault="006B4D69" w:rsidP="007F4173">
      <w:pPr>
        <w:tabs>
          <w:tab w:val="right" w:pos="-3261"/>
          <w:tab w:val="left" w:pos="142"/>
          <w:tab w:val="right" w:pos="8364"/>
        </w:tabs>
        <w:ind w:left="-142"/>
        <w:jc w:val="both"/>
      </w:pPr>
    </w:p>
    <w:p w:rsidR="006B4D69" w:rsidRDefault="006B4D69" w:rsidP="007F4173">
      <w:pPr>
        <w:tabs>
          <w:tab w:val="right" w:pos="-3261"/>
          <w:tab w:val="left" w:pos="142"/>
          <w:tab w:val="right" w:pos="8364"/>
        </w:tabs>
        <w:ind w:left="-142"/>
        <w:jc w:val="both"/>
      </w:pPr>
    </w:p>
    <w:p w:rsidR="006B4D69" w:rsidRDefault="006B4D69" w:rsidP="007F4173">
      <w:pPr>
        <w:tabs>
          <w:tab w:val="right" w:pos="-3261"/>
          <w:tab w:val="left" w:pos="142"/>
          <w:tab w:val="right" w:pos="8364"/>
        </w:tabs>
        <w:ind w:left="-142"/>
        <w:jc w:val="both"/>
      </w:pPr>
    </w:p>
    <w:p w:rsidR="006B4D69" w:rsidRDefault="006B4D69" w:rsidP="007F4173">
      <w:pPr>
        <w:tabs>
          <w:tab w:val="right" w:pos="-3261"/>
          <w:tab w:val="left" w:pos="142"/>
          <w:tab w:val="right" w:pos="8364"/>
        </w:tabs>
        <w:ind w:left="-142"/>
        <w:jc w:val="both"/>
      </w:pPr>
    </w:p>
    <w:p w:rsidR="006B4D69" w:rsidRDefault="006B4D69" w:rsidP="007F4173">
      <w:pPr>
        <w:tabs>
          <w:tab w:val="right" w:pos="-3261"/>
          <w:tab w:val="left" w:pos="142"/>
          <w:tab w:val="right" w:pos="8364"/>
        </w:tabs>
        <w:ind w:left="-142"/>
        <w:jc w:val="both"/>
      </w:pPr>
    </w:p>
    <w:p w:rsidR="007A136F" w:rsidRDefault="007A136F" w:rsidP="007F4173">
      <w:pPr>
        <w:tabs>
          <w:tab w:val="right" w:pos="-3261"/>
          <w:tab w:val="left" w:pos="142"/>
          <w:tab w:val="right" w:pos="8364"/>
        </w:tabs>
        <w:ind w:left="-142"/>
        <w:jc w:val="both"/>
      </w:pPr>
    </w:p>
    <w:p w:rsidR="007A136F" w:rsidRDefault="007A136F" w:rsidP="007F4173">
      <w:pPr>
        <w:tabs>
          <w:tab w:val="right" w:pos="-3261"/>
          <w:tab w:val="left" w:pos="142"/>
          <w:tab w:val="right" w:pos="8364"/>
        </w:tabs>
        <w:ind w:left="-142"/>
        <w:jc w:val="both"/>
      </w:pPr>
    </w:p>
    <w:p w:rsidR="007A136F" w:rsidRDefault="007A136F" w:rsidP="007F4173">
      <w:pPr>
        <w:tabs>
          <w:tab w:val="right" w:pos="-3261"/>
          <w:tab w:val="left" w:pos="142"/>
          <w:tab w:val="right" w:pos="8364"/>
        </w:tabs>
        <w:ind w:left="-142"/>
        <w:jc w:val="both"/>
      </w:pPr>
    </w:p>
    <w:p w:rsidR="007A136F" w:rsidRDefault="007A136F" w:rsidP="007F4173">
      <w:pPr>
        <w:tabs>
          <w:tab w:val="right" w:pos="-3261"/>
          <w:tab w:val="left" w:pos="142"/>
          <w:tab w:val="right" w:pos="8364"/>
        </w:tabs>
        <w:ind w:left="-142"/>
        <w:jc w:val="both"/>
      </w:pPr>
    </w:p>
    <w:p w:rsidR="007A136F" w:rsidRDefault="007A136F" w:rsidP="007F4173">
      <w:pPr>
        <w:tabs>
          <w:tab w:val="right" w:pos="-3261"/>
          <w:tab w:val="left" w:pos="142"/>
          <w:tab w:val="right" w:pos="8364"/>
        </w:tabs>
        <w:ind w:left="-142"/>
        <w:jc w:val="both"/>
      </w:pPr>
    </w:p>
    <w:p w:rsidR="006B4D69" w:rsidRDefault="006B4D69" w:rsidP="007F4173">
      <w:pPr>
        <w:tabs>
          <w:tab w:val="right" w:pos="-3261"/>
          <w:tab w:val="left" w:pos="142"/>
          <w:tab w:val="right" w:pos="8364"/>
        </w:tabs>
        <w:ind w:left="-142"/>
        <w:jc w:val="both"/>
      </w:pPr>
    </w:p>
    <w:p w:rsidR="00FC4C96" w:rsidRDefault="00CB05AE" w:rsidP="007A136F">
      <w:pPr>
        <w:pStyle w:val="Heading1"/>
        <w:numPr>
          <w:ilvl w:val="0"/>
          <w:numId w:val="36"/>
        </w:numPr>
        <w:jc w:val="both"/>
        <w:rPr>
          <w:rFonts w:ascii="Calibri" w:hAnsi="Calibri" w:cs="Calibri"/>
          <w:sz w:val="32"/>
          <w:szCs w:val="28"/>
        </w:rPr>
      </w:pPr>
      <w:bookmarkStart w:id="28" w:name="_Toc501009100"/>
      <w:bookmarkStart w:id="29" w:name="_Toc532299630"/>
      <w:bookmarkEnd w:id="27"/>
      <w:r>
        <w:rPr>
          <w:rFonts w:ascii="Calibri" w:hAnsi="Calibri" w:cs="Calibri"/>
          <w:sz w:val="32"/>
          <w:szCs w:val="28"/>
        </w:rPr>
        <w:t>FINANCIJSKI PLAN ZA 2019</w:t>
      </w:r>
      <w:r w:rsidR="00FC4C96" w:rsidRPr="001B1434">
        <w:rPr>
          <w:rFonts w:ascii="Calibri" w:hAnsi="Calibri" w:cs="Calibri"/>
          <w:sz w:val="32"/>
          <w:szCs w:val="28"/>
        </w:rPr>
        <w:t>. GODINU</w:t>
      </w:r>
      <w:bookmarkEnd w:id="28"/>
      <w:bookmarkEnd w:id="29"/>
    </w:p>
    <w:p w:rsidR="00FC4C96" w:rsidRDefault="00FC4C96" w:rsidP="00FC4C96"/>
    <w:p w:rsidR="00FC4C96" w:rsidRPr="0014729B" w:rsidRDefault="00FC4C96" w:rsidP="00FC4C96">
      <w:pPr>
        <w:tabs>
          <w:tab w:val="left" w:pos="-709"/>
          <w:tab w:val="left" w:pos="142"/>
        </w:tabs>
        <w:jc w:val="both"/>
      </w:pPr>
      <w:r>
        <w:t>Hrvatska Lutrija d.o.o.</w:t>
      </w:r>
      <w:r w:rsidRPr="0014729B">
        <w:t xml:space="preserve"> ostvaruje sredstva obavljanjem redovne djelatnosti, odnosno priređivanjem igara na sreću te kroz djelatnost prodaje robe.</w:t>
      </w:r>
      <w:r>
        <w:t xml:space="preserve"> </w:t>
      </w:r>
      <w:r w:rsidRPr="0014729B">
        <w:t xml:space="preserve">U skladu sa člankom 9. Zakona o igrama na sreću (NN br. 87/09., 35/13., 158/13., 41/14., 143/14.), koji je u primjeni od 01. siječnja 2010. godine, </w:t>
      </w:r>
      <w:r w:rsidR="00B500BA">
        <w:t>Hrvatska Lutrije</w:t>
      </w:r>
      <w:r w:rsidRPr="0014729B">
        <w:t xml:space="preserve"> ima obvezu prije isteka jednogodišnjeg razdoblja utvrditi prijedlog jednogodišnjeg</w:t>
      </w:r>
      <w:r>
        <w:t>, odnosno trogodišnjeg</w:t>
      </w:r>
      <w:r w:rsidRPr="0014729B">
        <w:t xml:space="preserve"> plana poslovanja za sljedeće razdoblje i podnijeti ga Vladi Republike Hrvatske radi prihvaćanja, uz dobivanje prethodnog mišljenja Ministarstva financija.</w:t>
      </w:r>
    </w:p>
    <w:p w:rsidR="00FC4C96" w:rsidRPr="0014729B" w:rsidRDefault="00FC4C96" w:rsidP="00FC4C96">
      <w:pPr>
        <w:tabs>
          <w:tab w:val="left" w:pos="-709"/>
          <w:tab w:val="left" w:pos="142"/>
        </w:tabs>
        <w:jc w:val="both"/>
      </w:pPr>
      <w:r w:rsidRPr="0014729B">
        <w:t>Raspodjela sredstava od igara na sreću propisana je navedenim Zakonom o igrama na sreću, kao i Pravilima lutrijskih igara na sreću.</w:t>
      </w:r>
    </w:p>
    <w:p w:rsidR="00FC4C96" w:rsidRPr="0014729B" w:rsidRDefault="00102BD5" w:rsidP="00FC4C96">
      <w:pPr>
        <w:tabs>
          <w:tab w:val="left" w:pos="-709"/>
          <w:tab w:val="left" w:pos="142"/>
        </w:tabs>
        <w:jc w:val="both"/>
      </w:pPr>
      <w:r>
        <w:t>Hrvatska lutrija d.o.o.</w:t>
      </w:r>
      <w:r w:rsidR="00FC4C96" w:rsidRPr="0014729B">
        <w:t xml:space="preserve">  ovim Planom predviđa priređivanje lutrijskih igara, igara u casinima, igara klađenja i igara na sreću na automatima (člankom 5. Zakona, igre na sreću razvrstane su u ove četiri skupine).</w:t>
      </w:r>
    </w:p>
    <w:p w:rsidR="00FC4C96" w:rsidRPr="00CE1088" w:rsidRDefault="00FC4C96" w:rsidP="00FC4C96">
      <w:pPr>
        <w:tabs>
          <w:tab w:val="left" w:pos="-709"/>
          <w:tab w:val="left" w:pos="142"/>
        </w:tabs>
        <w:jc w:val="both"/>
      </w:pPr>
      <w:r w:rsidRPr="0014729B">
        <w:t xml:space="preserve">Predviđeni razvojni programi i širenje poslovanja zahtijevaju investicijska ulaganja, a planiranim investicijama </w:t>
      </w:r>
      <w:r w:rsidR="00102BD5">
        <w:t>Hrvatska Lutrija d.o.o.</w:t>
      </w:r>
      <w:r w:rsidRPr="0014729B">
        <w:t xml:space="preserve">  ostvaruje pretpostavke koje će joj omogućiti da ponuđenim igrama ostvari promete i prihode koji će opravdati investicije, a vlasniku omogućiti ostvarenje značajnih proračunskih prihoda.</w:t>
      </w:r>
    </w:p>
    <w:p w:rsidR="00FC4C96" w:rsidRPr="00FC4C96" w:rsidRDefault="00FC4C96" w:rsidP="00FC4C96"/>
    <w:p w:rsidR="00ED231D" w:rsidRPr="00B80C78" w:rsidRDefault="007A136F" w:rsidP="007A136F">
      <w:pPr>
        <w:pStyle w:val="Heading1"/>
        <w:numPr>
          <w:ilvl w:val="1"/>
          <w:numId w:val="38"/>
        </w:numPr>
        <w:jc w:val="both"/>
        <w:rPr>
          <w:rFonts w:ascii="Calibri" w:hAnsi="Calibri" w:cs="Calibri"/>
          <w:sz w:val="28"/>
          <w:szCs w:val="28"/>
        </w:rPr>
      </w:pPr>
      <w:bookmarkStart w:id="30" w:name="_Toc433472802"/>
      <w:bookmarkStart w:id="31" w:name="_Toc433472877"/>
      <w:bookmarkStart w:id="32" w:name="_Toc469921246"/>
      <w:bookmarkStart w:id="33" w:name="_Toc501009101"/>
      <w:bookmarkStart w:id="34" w:name="_Toc532299631"/>
      <w:r w:rsidRPr="00B80C78">
        <w:rPr>
          <w:rFonts w:ascii="Calibri" w:hAnsi="Calibri" w:cs="Calibri"/>
          <w:sz w:val="28"/>
          <w:szCs w:val="28"/>
        </w:rPr>
        <w:t>Plan prometa i prihoda od igara na sreću za 201</w:t>
      </w:r>
      <w:r>
        <w:rPr>
          <w:rFonts w:ascii="Calibri" w:hAnsi="Calibri" w:cs="Calibri"/>
          <w:sz w:val="28"/>
          <w:szCs w:val="28"/>
        </w:rPr>
        <w:t>9</w:t>
      </w:r>
      <w:r w:rsidRPr="00B80C78">
        <w:rPr>
          <w:rFonts w:ascii="Calibri" w:hAnsi="Calibri" w:cs="Calibri"/>
          <w:sz w:val="28"/>
          <w:szCs w:val="28"/>
        </w:rPr>
        <w:t xml:space="preserve">. </w:t>
      </w:r>
      <w:r>
        <w:rPr>
          <w:rFonts w:ascii="Calibri" w:hAnsi="Calibri" w:cs="Calibri"/>
          <w:sz w:val="28"/>
          <w:szCs w:val="28"/>
        </w:rPr>
        <w:t>g</w:t>
      </w:r>
      <w:r w:rsidRPr="00B80C78">
        <w:rPr>
          <w:rFonts w:ascii="Calibri" w:hAnsi="Calibri" w:cs="Calibri"/>
          <w:sz w:val="28"/>
          <w:szCs w:val="28"/>
        </w:rPr>
        <w:t>odinu</w:t>
      </w:r>
      <w:bookmarkEnd w:id="30"/>
      <w:bookmarkEnd w:id="31"/>
      <w:bookmarkEnd w:id="32"/>
      <w:bookmarkEnd w:id="33"/>
      <w:bookmarkEnd w:id="34"/>
    </w:p>
    <w:p w:rsidR="00ED231D" w:rsidRDefault="00ED231D" w:rsidP="00102BD5">
      <w:pPr>
        <w:tabs>
          <w:tab w:val="left" w:pos="-709"/>
          <w:tab w:val="left" w:pos="142"/>
        </w:tabs>
        <w:jc w:val="both"/>
      </w:pPr>
    </w:p>
    <w:p w:rsidR="00102BD5" w:rsidRPr="00CE1088" w:rsidRDefault="00102BD5" w:rsidP="00102BD5">
      <w:pPr>
        <w:tabs>
          <w:tab w:val="left" w:pos="-709"/>
          <w:tab w:val="left" w:pos="142"/>
        </w:tabs>
        <w:jc w:val="both"/>
      </w:pPr>
      <w:r w:rsidRPr="00CE1088">
        <w:t>Prilikom planiranja prometa i prihoda od igara na sreću za 201</w:t>
      </w:r>
      <w:r>
        <w:t>9</w:t>
      </w:r>
      <w:r w:rsidRPr="00CE1088">
        <w:t xml:space="preserve">. godinu, uzet je u obzir niz elemenata koji direktno utječu na trendove u ovoj djelatnosti.  Najznačajniji od njih su ekonomski pokazatelji,  zatim  svjetski trendovi razvoja igara, tržišna pozicija </w:t>
      </w:r>
      <w:r>
        <w:t>Hrvatske Lutrije d.o.o.</w:t>
      </w:r>
      <w:r w:rsidRPr="00CE1088">
        <w:t xml:space="preserve"> te tehničke mogućnosti i ograničenja,  dok u dijelu priređivanja igara na sreću u casinima i automat klubovima te klađenja, znatan utjecaj ima i konkurencija te zakonska regulativa.</w:t>
      </w:r>
      <w:r>
        <w:t xml:space="preserve"> Utjecaj na promete ima i izvlačenje glavnih dobitaka za pojedinu igru jer je nakon toga evidentan pad uplata i prometa.</w:t>
      </w:r>
    </w:p>
    <w:p w:rsidR="00102BD5" w:rsidRPr="00E926AD" w:rsidRDefault="00102BD5" w:rsidP="00102BD5">
      <w:pPr>
        <w:jc w:val="both"/>
        <w:rPr>
          <w:rFonts w:cs="Calibri"/>
        </w:rPr>
      </w:pPr>
      <w:r w:rsidRPr="00E926AD">
        <w:t xml:space="preserve">Promet od priređivanja lutrijskih igara, klađenja i prodaje roba planiran je u iznosu </w:t>
      </w:r>
      <w:r w:rsidRPr="008C6FA9">
        <w:t>od 1,</w:t>
      </w:r>
      <w:r w:rsidR="008C6FA9" w:rsidRPr="008C6FA9">
        <w:t>3</w:t>
      </w:r>
      <w:r w:rsidRPr="008C6FA9">
        <w:t xml:space="preserve"> milijarde kn, što je za 7,</w:t>
      </w:r>
      <w:r w:rsidR="008C6FA9" w:rsidRPr="008C6FA9">
        <w:t>50</w:t>
      </w:r>
      <w:r w:rsidRPr="008C6FA9">
        <w:t>% više od procijenjenog za 2018. godinu.</w:t>
      </w:r>
      <w:r w:rsidRPr="00E926AD">
        <w:rPr>
          <w:rFonts w:cs="Calibri"/>
        </w:rPr>
        <w:t xml:space="preserve"> </w:t>
      </w:r>
    </w:p>
    <w:p w:rsidR="00102BD5" w:rsidRDefault="00102BD5" w:rsidP="00102BD5">
      <w:pPr>
        <w:tabs>
          <w:tab w:val="left" w:pos="-709"/>
          <w:tab w:val="left" w:pos="142"/>
        </w:tabs>
        <w:jc w:val="both"/>
      </w:pPr>
      <w:r w:rsidRPr="00EC2E3A">
        <w:t>Prihodi od priređivanja igara na automatima za igre na sreću (u automat klubovima i na prodajnim mjestima) i od casino igara (u prostoru casina</w:t>
      </w:r>
      <w:r>
        <w:t xml:space="preserve"> te</w:t>
      </w:r>
      <w:r w:rsidRPr="00EC2E3A">
        <w:t xml:space="preserve"> on line casino) za 201</w:t>
      </w:r>
      <w:r>
        <w:t>9</w:t>
      </w:r>
      <w:r w:rsidRPr="00EC2E3A">
        <w:t xml:space="preserve">. godinu planirani su u iznosu od  </w:t>
      </w:r>
      <w:r>
        <w:t>1</w:t>
      </w:r>
      <w:r w:rsidRPr="00A5219B">
        <w:t>5</w:t>
      </w:r>
      <w:r>
        <w:t>9</w:t>
      </w:r>
      <w:r w:rsidRPr="00A5219B">
        <w:t>,</w:t>
      </w:r>
      <w:r>
        <w:t>1</w:t>
      </w:r>
      <w:r w:rsidRPr="00A5219B">
        <w:t xml:space="preserve"> mil</w:t>
      </w:r>
      <w:r>
        <w:t>ijuna kn ili za 21</w:t>
      </w:r>
      <w:r w:rsidRPr="00A5219B">
        <w:t>,</w:t>
      </w:r>
      <w:r>
        <w:t>12</w:t>
      </w:r>
      <w:r w:rsidRPr="00A5219B">
        <w:t>% više od prihoda procijenjenih za 201</w:t>
      </w:r>
      <w:r>
        <w:t>8</w:t>
      </w:r>
      <w:r w:rsidRPr="00A5219B">
        <w:t>. godinu.</w:t>
      </w:r>
    </w:p>
    <w:p w:rsidR="00102BD5" w:rsidRDefault="00102BD5" w:rsidP="00102BD5">
      <w:pPr>
        <w:tabs>
          <w:tab w:val="left" w:pos="-709"/>
          <w:tab w:val="left" w:pos="142"/>
        </w:tabs>
        <w:jc w:val="both"/>
        <w:rPr>
          <w:bCs/>
        </w:rPr>
      </w:pPr>
      <w:r>
        <w:lastRenderedPageBreak/>
        <w:t xml:space="preserve">U nastavku </w:t>
      </w:r>
      <w:r w:rsidR="008C6FA9">
        <w:t xml:space="preserve">su </w:t>
      </w:r>
      <w:r>
        <w:t xml:space="preserve">prikazani </w:t>
      </w:r>
      <w:r w:rsidRPr="00BA29A6">
        <w:rPr>
          <w:bCs/>
        </w:rPr>
        <w:t>planirani prometi i prihodi od priređivanja igara na sreću te od prodaje roba za 201</w:t>
      </w:r>
      <w:r>
        <w:rPr>
          <w:bCs/>
        </w:rPr>
        <w:t>9</w:t>
      </w:r>
      <w:r w:rsidRPr="00BA29A6">
        <w:rPr>
          <w:bCs/>
        </w:rPr>
        <w:t>.</w:t>
      </w:r>
      <w:r>
        <w:rPr>
          <w:bCs/>
        </w:rPr>
        <w:t>:</w:t>
      </w:r>
      <w:r w:rsidRPr="00BA29A6">
        <w:rPr>
          <w:bCs/>
        </w:rPr>
        <w:t xml:space="preserve"> </w:t>
      </w:r>
    </w:p>
    <w:p w:rsidR="006B4D69" w:rsidRDefault="006B4D69" w:rsidP="00102BD5">
      <w:pPr>
        <w:tabs>
          <w:tab w:val="left" w:pos="-709"/>
          <w:tab w:val="left" w:pos="142"/>
        </w:tabs>
        <w:jc w:val="both"/>
        <w:rPr>
          <w:bCs/>
        </w:rPr>
      </w:pPr>
    </w:p>
    <w:p w:rsidR="006B4D69" w:rsidRDefault="006B4D69" w:rsidP="00102BD5">
      <w:pPr>
        <w:tabs>
          <w:tab w:val="left" w:pos="-709"/>
          <w:tab w:val="left" w:pos="142"/>
        </w:tabs>
        <w:jc w:val="both"/>
        <w:rPr>
          <w:bCs/>
        </w:rPr>
      </w:pPr>
    </w:p>
    <w:p w:rsidR="006B4D69" w:rsidRDefault="006B4D69" w:rsidP="00102BD5">
      <w:pPr>
        <w:tabs>
          <w:tab w:val="left" w:pos="-709"/>
          <w:tab w:val="left" w:pos="142"/>
        </w:tabs>
        <w:jc w:val="both"/>
        <w:rPr>
          <w:bCs/>
        </w:rPr>
      </w:pPr>
    </w:p>
    <w:p w:rsidR="006B4D69" w:rsidRDefault="006B4D69" w:rsidP="00102BD5">
      <w:pPr>
        <w:tabs>
          <w:tab w:val="left" w:pos="-709"/>
          <w:tab w:val="left" w:pos="142"/>
        </w:tabs>
        <w:jc w:val="both"/>
        <w:rPr>
          <w:bCs/>
        </w:rPr>
      </w:pPr>
    </w:p>
    <w:p w:rsidR="006B4D69" w:rsidRDefault="006B4D69" w:rsidP="00102BD5">
      <w:pPr>
        <w:tabs>
          <w:tab w:val="left" w:pos="-709"/>
          <w:tab w:val="left" w:pos="142"/>
        </w:tabs>
        <w:jc w:val="both"/>
        <w:rPr>
          <w:bCs/>
        </w:rPr>
      </w:pPr>
    </w:p>
    <w:p w:rsidR="006B4D69" w:rsidRDefault="006B4D69" w:rsidP="00102BD5">
      <w:pPr>
        <w:tabs>
          <w:tab w:val="left" w:pos="-709"/>
          <w:tab w:val="left" w:pos="142"/>
        </w:tabs>
        <w:jc w:val="both"/>
        <w:rPr>
          <w:bCs/>
        </w:rPr>
      </w:pPr>
    </w:p>
    <w:p w:rsidR="00BA29A6" w:rsidRDefault="00102BD5" w:rsidP="007F4173">
      <w:pPr>
        <w:tabs>
          <w:tab w:val="right" w:pos="-3261"/>
          <w:tab w:val="left" w:pos="142"/>
          <w:tab w:val="right" w:pos="8364"/>
        </w:tabs>
        <w:ind w:left="-142"/>
        <w:jc w:val="both"/>
        <w:rPr>
          <w:b/>
          <w:bCs/>
          <w:color w:val="000000"/>
        </w:rPr>
      </w:pPr>
      <w:r>
        <w:rPr>
          <w:b/>
          <w:bCs/>
          <w:color w:val="000000"/>
        </w:rPr>
        <w:tab/>
        <w:t>Tablica 1.: PLANIRANI PROMETI</w:t>
      </w:r>
    </w:p>
    <w:p w:rsidR="008C6FA9" w:rsidRDefault="008C6FA9" w:rsidP="007F4173">
      <w:pPr>
        <w:tabs>
          <w:tab w:val="right" w:pos="-3261"/>
          <w:tab w:val="left" w:pos="142"/>
          <w:tab w:val="right" w:pos="8364"/>
        </w:tabs>
        <w:ind w:left="-142"/>
        <w:jc w:val="both"/>
        <w:rPr>
          <w:b/>
          <w:bCs/>
          <w:color w:val="000000"/>
        </w:rPr>
      </w:pPr>
      <w:r>
        <w:rPr>
          <w:b/>
          <w:bCs/>
          <w:color w:val="000000"/>
        </w:rPr>
        <w:t xml:space="preserve">    </w:t>
      </w:r>
      <w:r w:rsidR="00B65A29" w:rsidRPr="00B65A29">
        <w:rPr>
          <w:noProof/>
        </w:rPr>
        <w:drawing>
          <wp:inline distT="0" distB="0" distL="0" distR="0">
            <wp:extent cx="5804535" cy="2146935"/>
            <wp:effectExtent l="0" t="0" r="571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4535" cy="2146935"/>
                    </a:xfrm>
                    <a:prstGeom prst="rect">
                      <a:avLst/>
                    </a:prstGeom>
                    <a:noFill/>
                    <a:ln>
                      <a:noFill/>
                    </a:ln>
                  </pic:spPr>
                </pic:pic>
              </a:graphicData>
            </a:graphic>
          </wp:inline>
        </w:drawing>
      </w:r>
      <w:r>
        <w:rPr>
          <w:b/>
          <w:bCs/>
          <w:color w:val="000000"/>
        </w:rPr>
        <w:t xml:space="preserve">   </w:t>
      </w:r>
    </w:p>
    <w:p w:rsidR="007E4200" w:rsidRDefault="007E4200" w:rsidP="007F4173">
      <w:pPr>
        <w:tabs>
          <w:tab w:val="right" w:pos="-3261"/>
          <w:tab w:val="left" w:pos="142"/>
          <w:tab w:val="right" w:pos="8364"/>
        </w:tabs>
        <w:ind w:left="-142"/>
        <w:jc w:val="both"/>
        <w:rPr>
          <w:b/>
          <w:bCs/>
          <w:color w:val="000000"/>
        </w:rPr>
      </w:pPr>
      <w:r>
        <w:rPr>
          <w:b/>
          <w:bCs/>
          <w:color w:val="000000"/>
        </w:rPr>
        <w:tab/>
      </w:r>
    </w:p>
    <w:p w:rsidR="008C6FA9" w:rsidRDefault="007E4200" w:rsidP="007F4173">
      <w:pPr>
        <w:tabs>
          <w:tab w:val="right" w:pos="-3261"/>
          <w:tab w:val="left" w:pos="142"/>
          <w:tab w:val="right" w:pos="8364"/>
        </w:tabs>
        <w:ind w:left="-142"/>
        <w:jc w:val="both"/>
        <w:rPr>
          <w:b/>
          <w:bCs/>
          <w:color w:val="000000"/>
        </w:rPr>
      </w:pPr>
      <w:r>
        <w:rPr>
          <w:b/>
          <w:bCs/>
          <w:color w:val="000000"/>
        </w:rPr>
        <w:tab/>
      </w:r>
      <w:r w:rsidRPr="00336F70">
        <w:rPr>
          <w:b/>
          <w:bCs/>
          <w:color w:val="000000"/>
        </w:rPr>
        <w:t>Tablica 2.: PLANIRANI PRIHODI OD IGARA NA SREĆU I PRODAJE ROBA 201</w:t>
      </w:r>
      <w:r>
        <w:rPr>
          <w:b/>
          <w:bCs/>
          <w:color w:val="000000"/>
        </w:rPr>
        <w:t>9</w:t>
      </w:r>
      <w:r w:rsidRPr="00336F70">
        <w:rPr>
          <w:b/>
          <w:bCs/>
          <w:color w:val="000000"/>
        </w:rPr>
        <w:t>. GODINU</w:t>
      </w:r>
      <w:r w:rsidRPr="00CE1088">
        <w:rPr>
          <w:b/>
          <w:bCs/>
          <w:color w:val="000000"/>
        </w:rPr>
        <w:t>*</w:t>
      </w:r>
    </w:p>
    <w:p w:rsidR="007E4200" w:rsidRDefault="004775A1" w:rsidP="007F4173">
      <w:pPr>
        <w:tabs>
          <w:tab w:val="right" w:pos="-3261"/>
          <w:tab w:val="left" w:pos="142"/>
          <w:tab w:val="right" w:pos="8364"/>
        </w:tabs>
        <w:ind w:left="-142"/>
        <w:jc w:val="both"/>
      </w:pPr>
      <w:r>
        <w:tab/>
      </w:r>
      <w:r w:rsidRPr="004775A1">
        <w:rPr>
          <w:noProof/>
        </w:rPr>
        <w:drawing>
          <wp:inline distT="0" distB="0" distL="0" distR="0">
            <wp:extent cx="5804535" cy="221043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04535" cy="2210435"/>
                    </a:xfrm>
                    <a:prstGeom prst="rect">
                      <a:avLst/>
                    </a:prstGeom>
                    <a:noFill/>
                    <a:ln>
                      <a:noFill/>
                    </a:ln>
                  </pic:spPr>
                </pic:pic>
              </a:graphicData>
            </a:graphic>
          </wp:inline>
        </w:drawing>
      </w:r>
    </w:p>
    <w:p w:rsidR="00EF7DDE" w:rsidRDefault="00EF7DDE" w:rsidP="00EF7DDE">
      <w:pPr>
        <w:tabs>
          <w:tab w:val="left" w:pos="142"/>
        </w:tabs>
        <w:autoSpaceDE w:val="0"/>
        <w:autoSpaceDN w:val="0"/>
        <w:adjustRightInd w:val="0"/>
        <w:ind w:left="142"/>
        <w:jc w:val="both"/>
        <w:rPr>
          <w:bCs/>
          <w:color w:val="000000"/>
        </w:rPr>
      </w:pPr>
      <w:r w:rsidRPr="00CE1088">
        <w:rPr>
          <w:bCs/>
          <w:color w:val="000000"/>
        </w:rPr>
        <w:t xml:space="preserve">* prikazani su planirani prihodi koji predstavljaju priljev sredstava </w:t>
      </w:r>
      <w:r w:rsidR="00B500BA">
        <w:rPr>
          <w:bCs/>
          <w:color w:val="000000"/>
        </w:rPr>
        <w:t>Hrvatske Lutrije</w:t>
      </w:r>
      <w:r w:rsidRPr="00CE1088">
        <w:rPr>
          <w:bCs/>
          <w:color w:val="000000"/>
        </w:rPr>
        <w:t xml:space="preserve">  (ukupna uplata za igru umanjena za isplate igračima)</w:t>
      </w:r>
    </w:p>
    <w:p w:rsidR="009A368B" w:rsidRDefault="009A368B" w:rsidP="00EF7DDE">
      <w:pPr>
        <w:tabs>
          <w:tab w:val="left" w:pos="142"/>
        </w:tabs>
        <w:autoSpaceDE w:val="0"/>
        <w:autoSpaceDN w:val="0"/>
        <w:adjustRightInd w:val="0"/>
        <w:ind w:left="142"/>
        <w:jc w:val="both"/>
        <w:rPr>
          <w:bCs/>
          <w:color w:val="000000"/>
        </w:rPr>
      </w:pPr>
    </w:p>
    <w:p w:rsidR="009A368B" w:rsidRDefault="009A368B" w:rsidP="009A368B">
      <w:pPr>
        <w:tabs>
          <w:tab w:val="left" w:pos="0"/>
        </w:tabs>
        <w:rPr>
          <w:b/>
          <w:bCs/>
        </w:rPr>
      </w:pPr>
      <w:r w:rsidRPr="002B461E">
        <w:rPr>
          <w:b/>
          <w:bCs/>
        </w:rPr>
        <w:lastRenderedPageBreak/>
        <w:t xml:space="preserve">Tablica 3: PLAN PROMETA PO KANALIMA PRODAJE </w:t>
      </w:r>
    </w:p>
    <w:p w:rsidR="009A368B" w:rsidRPr="00CE1088" w:rsidRDefault="009A368B" w:rsidP="00EF7DDE">
      <w:pPr>
        <w:tabs>
          <w:tab w:val="left" w:pos="142"/>
        </w:tabs>
        <w:autoSpaceDE w:val="0"/>
        <w:autoSpaceDN w:val="0"/>
        <w:adjustRightInd w:val="0"/>
        <w:ind w:left="142"/>
        <w:jc w:val="both"/>
        <w:rPr>
          <w:bCs/>
          <w:color w:val="000000"/>
        </w:rPr>
      </w:pPr>
      <w:r w:rsidRPr="009A368B">
        <w:rPr>
          <w:noProof/>
        </w:rPr>
        <w:drawing>
          <wp:inline distT="0" distB="0" distL="0" distR="0">
            <wp:extent cx="6120765" cy="17786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1778633"/>
                    </a:xfrm>
                    <a:prstGeom prst="rect">
                      <a:avLst/>
                    </a:prstGeom>
                    <a:noFill/>
                    <a:ln>
                      <a:noFill/>
                    </a:ln>
                  </pic:spPr>
                </pic:pic>
              </a:graphicData>
            </a:graphic>
          </wp:inline>
        </w:drawing>
      </w:r>
    </w:p>
    <w:p w:rsidR="009A368B" w:rsidRDefault="009A368B" w:rsidP="009A368B">
      <w:pPr>
        <w:tabs>
          <w:tab w:val="left" w:pos="-709"/>
          <w:tab w:val="left" w:pos="142"/>
        </w:tabs>
        <w:ind w:left="142"/>
        <w:jc w:val="both"/>
      </w:pPr>
      <w:r w:rsidRPr="00CE1088">
        <w:t>Planirani promet za 201</w:t>
      </w:r>
      <w:r>
        <w:t>9</w:t>
      </w:r>
      <w:r w:rsidRPr="00CE1088">
        <w:t xml:space="preserve">. godinu </w:t>
      </w:r>
      <w:r>
        <w:t>H</w:t>
      </w:r>
      <w:r w:rsidR="00B500BA">
        <w:t xml:space="preserve">rvatska </w:t>
      </w:r>
      <w:r>
        <w:t>L</w:t>
      </w:r>
      <w:r w:rsidR="00B500BA">
        <w:t>utrija</w:t>
      </w:r>
      <w:r w:rsidRPr="00CE1088">
        <w:t xml:space="preserve"> ostvarit će na vlastitim prodajnim mjestima (prodavači u radnom odnosu), na prodajnim mjestima poslovne suradnje, putem Interneta, putem kanala prodaje HL POS te putem HL BOX uređaja. </w:t>
      </w:r>
    </w:p>
    <w:p w:rsidR="009A368B" w:rsidRPr="00CE1088" w:rsidRDefault="009A368B" w:rsidP="009A368B">
      <w:pPr>
        <w:tabs>
          <w:tab w:val="left" w:pos="-709"/>
          <w:tab w:val="left" w:pos="142"/>
        </w:tabs>
        <w:ind w:left="142"/>
        <w:jc w:val="both"/>
      </w:pPr>
    </w:p>
    <w:p w:rsidR="009A368B" w:rsidRDefault="009A368B" w:rsidP="009A368B">
      <w:pPr>
        <w:tabs>
          <w:tab w:val="left" w:pos="142"/>
        </w:tabs>
        <w:autoSpaceDE w:val="0"/>
        <w:autoSpaceDN w:val="0"/>
        <w:adjustRightInd w:val="0"/>
        <w:ind w:left="142"/>
        <w:rPr>
          <w:rStyle w:val="Strong"/>
        </w:rPr>
      </w:pPr>
      <w:r w:rsidRPr="00CE1088">
        <w:rPr>
          <w:rStyle w:val="Strong"/>
        </w:rPr>
        <w:t xml:space="preserve">PROMET LUTRIJSKIH IGARA </w:t>
      </w:r>
    </w:p>
    <w:p w:rsidR="00EF7DDE" w:rsidRDefault="009A368B" w:rsidP="009A368B">
      <w:pPr>
        <w:tabs>
          <w:tab w:val="left" w:pos="142"/>
        </w:tabs>
        <w:ind w:left="142"/>
        <w:jc w:val="both"/>
      </w:pPr>
      <w:r w:rsidRPr="00CE1088">
        <w:t>Priređivanjem lutrijskih igara na sreću za 201</w:t>
      </w:r>
      <w:r>
        <w:t>9</w:t>
      </w:r>
      <w:r w:rsidRPr="00CE1088">
        <w:t xml:space="preserve">. godinu planira se ostvariti promet u ukupnom iznosu od </w:t>
      </w:r>
      <w:r>
        <w:t>788,9</w:t>
      </w:r>
      <w:r w:rsidR="00CB05AE">
        <w:t>2</w:t>
      </w:r>
      <w:r w:rsidRPr="00EC2E3A">
        <w:t xml:space="preserve"> mil</w:t>
      </w:r>
      <w:r>
        <w:t>ijuna</w:t>
      </w:r>
      <w:r w:rsidRPr="00EC2E3A">
        <w:t xml:space="preserve"> kn, što je za </w:t>
      </w:r>
      <w:r>
        <w:t>9</w:t>
      </w:r>
      <w:r w:rsidRPr="00EC2E3A">
        <w:t>,</w:t>
      </w:r>
      <w:r>
        <w:t>32</w:t>
      </w:r>
      <w:r w:rsidRPr="00EC2E3A">
        <w:t>% više u odnosu</w:t>
      </w:r>
      <w:r w:rsidRPr="00CE1088">
        <w:t xml:space="preserve"> na procijenjeni promet za </w:t>
      </w:r>
      <w:r>
        <w:t>2018.</w:t>
      </w:r>
      <w:r w:rsidRPr="00CE1088">
        <w:t xml:space="preserve"> godinu.</w:t>
      </w:r>
    </w:p>
    <w:p w:rsidR="009A368B" w:rsidRDefault="002734E9" w:rsidP="009A368B">
      <w:pPr>
        <w:tabs>
          <w:tab w:val="left" w:pos="142"/>
        </w:tabs>
        <w:ind w:left="142"/>
        <w:jc w:val="both"/>
      </w:pPr>
      <w:r>
        <w:rPr>
          <w:noProof/>
        </w:rPr>
        <w:drawing>
          <wp:inline distT="0" distB="0" distL="0" distR="0" wp14:anchorId="08F9C733">
            <wp:extent cx="5868000" cy="273600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68000" cy="2736000"/>
                    </a:xfrm>
                    <a:prstGeom prst="rect">
                      <a:avLst/>
                    </a:prstGeom>
                    <a:noFill/>
                  </pic:spPr>
                </pic:pic>
              </a:graphicData>
            </a:graphic>
          </wp:inline>
        </w:drawing>
      </w:r>
    </w:p>
    <w:p w:rsidR="002734E9" w:rsidRDefault="002734E9" w:rsidP="002734E9">
      <w:pPr>
        <w:tabs>
          <w:tab w:val="left" w:pos="142"/>
        </w:tabs>
        <w:ind w:left="142"/>
        <w:jc w:val="both"/>
      </w:pPr>
      <w:r w:rsidRPr="00277E17">
        <w:t>Ukupno planirani promet od priređivanja lutr</w:t>
      </w:r>
      <w:r>
        <w:t>ijskih igara na sreću iznosi 788</w:t>
      </w:r>
      <w:r w:rsidRPr="00277E17">
        <w:t>,</w:t>
      </w:r>
      <w:r>
        <w:t>92</w:t>
      </w:r>
      <w:r w:rsidRPr="00277E17">
        <w:t xml:space="preserve"> mil</w:t>
      </w:r>
      <w:r>
        <w:t>ijuna</w:t>
      </w:r>
      <w:r w:rsidRPr="00277E17">
        <w:t xml:space="preserve"> kn i raspoređuje se na fond dobitaka igrača u iznosu od </w:t>
      </w:r>
      <w:r>
        <w:t>430</w:t>
      </w:r>
      <w:r w:rsidRPr="00277E17">
        <w:t>,</w:t>
      </w:r>
      <w:r>
        <w:t>59</w:t>
      </w:r>
      <w:r w:rsidRPr="00277E17">
        <w:t xml:space="preserve"> mil</w:t>
      </w:r>
      <w:r>
        <w:t>ijuna</w:t>
      </w:r>
      <w:r w:rsidRPr="00277E17">
        <w:t xml:space="preserve"> kn te prihod </w:t>
      </w:r>
      <w:r>
        <w:t>Hrvatske Lutrije d.o.o.</w:t>
      </w:r>
      <w:r w:rsidRPr="00277E17">
        <w:t xml:space="preserve"> u iznosu od 3</w:t>
      </w:r>
      <w:r>
        <w:t>58</w:t>
      </w:r>
      <w:r w:rsidRPr="00277E17">
        <w:t>,</w:t>
      </w:r>
      <w:r>
        <w:t xml:space="preserve">33 </w:t>
      </w:r>
      <w:r w:rsidRPr="00277E17">
        <w:t>mil</w:t>
      </w:r>
      <w:r>
        <w:t>ijuna</w:t>
      </w:r>
      <w:r w:rsidRPr="00277E17">
        <w:t xml:space="preserve"> kn.</w:t>
      </w:r>
      <w:r w:rsidRPr="005269A6">
        <w:t xml:space="preserve"> </w:t>
      </w:r>
    </w:p>
    <w:p w:rsidR="002734E9" w:rsidRDefault="002734E9" w:rsidP="002734E9">
      <w:pPr>
        <w:tabs>
          <w:tab w:val="left" w:pos="-709"/>
          <w:tab w:val="left" w:pos="142"/>
        </w:tabs>
        <w:ind w:left="142"/>
        <w:jc w:val="both"/>
      </w:pPr>
      <w:r w:rsidRPr="0001051C">
        <w:t>Rast prometa lutrijskih igara na sreću postići će se kroz  definirane strateške smjerove, koji upravo imaju za cilj povećanje prometa i prihoda, fokusiranjem na akviziciju novih igrača, novu igračku platformu, naprednim alatima za upravljanje odnosom s igračima, modernizacijom portfelja igara, daljnji razvoj poslovnih modela prodaje.</w:t>
      </w:r>
      <w:r>
        <w:t xml:space="preserve"> </w:t>
      </w:r>
      <w:r w:rsidRPr="001C64E1">
        <w:t xml:space="preserve">U Tablici </w:t>
      </w:r>
      <w:r>
        <w:t>3/1</w:t>
      </w:r>
      <w:r w:rsidRPr="001C64E1">
        <w:t xml:space="preserve"> prikazan je</w:t>
      </w:r>
      <w:r w:rsidRPr="00CE1088">
        <w:t xml:space="preserve"> </w:t>
      </w:r>
      <w:r>
        <w:t>plan</w:t>
      </w:r>
      <w:r w:rsidRPr="00CE1088">
        <w:t xml:space="preserve"> prometa od lutrijskih igara po kanalima prodaje.</w:t>
      </w:r>
    </w:p>
    <w:p w:rsidR="00E26B8E" w:rsidRDefault="00E26B8E" w:rsidP="00E26B8E">
      <w:pPr>
        <w:tabs>
          <w:tab w:val="left" w:pos="0"/>
        </w:tabs>
        <w:rPr>
          <w:b/>
          <w:bCs/>
        </w:rPr>
      </w:pPr>
    </w:p>
    <w:p w:rsidR="00E26B8E" w:rsidRPr="00CE1088" w:rsidRDefault="00E26B8E" w:rsidP="00E26B8E">
      <w:pPr>
        <w:tabs>
          <w:tab w:val="left" w:pos="0"/>
        </w:tabs>
        <w:rPr>
          <w:b/>
          <w:bCs/>
        </w:rPr>
      </w:pPr>
      <w:r>
        <w:rPr>
          <w:b/>
          <w:bCs/>
        </w:rPr>
        <w:t>Tablica 3/1</w:t>
      </w:r>
      <w:r w:rsidRPr="00CE1088">
        <w:rPr>
          <w:b/>
          <w:bCs/>
        </w:rPr>
        <w:t>: PLAN PROMETA LUTRIJSKIH IGARA PO KANALIMA PRODAJE</w:t>
      </w:r>
    </w:p>
    <w:p w:rsidR="00B65A29" w:rsidRDefault="00E26B8E" w:rsidP="00E26B8E">
      <w:pPr>
        <w:tabs>
          <w:tab w:val="left" w:pos="-709"/>
          <w:tab w:val="left" w:pos="142"/>
        </w:tabs>
        <w:jc w:val="both"/>
      </w:pPr>
      <w:r w:rsidRPr="00E26B8E">
        <w:rPr>
          <w:noProof/>
        </w:rPr>
        <w:lastRenderedPageBreak/>
        <w:drawing>
          <wp:inline distT="0" distB="0" distL="0" distR="0">
            <wp:extent cx="6120765" cy="200305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003051"/>
                    </a:xfrm>
                    <a:prstGeom prst="rect">
                      <a:avLst/>
                    </a:prstGeom>
                    <a:noFill/>
                    <a:ln>
                      <a:noFill/>
                    </a:ln>
                  </pic:spPr>
                </pic:pic>
              </a:graphicData>
            </a:graphic>
          </wp:inline>
        </w:drawing>
      </w:r>
    </w:p>
    <w:p w:rsidR="002734E9" w:rsidRDefault="00B65A29" w:rsidP="009A368B">
      <w:pPr>
        <w:tabs>
          <w:tab w:val="left" w:pos="142"/>
        </w:tabs>
        <w:ind w:left="142"/>
        <w:jc w:val="both"/>
      </w:pPr>
      <w:r>
        <w:rPr>
          <w:noProof/>
        </w:rPr>
        <w:drawing>
          <wp:inline distT="0" distB="0" distL="0" distR="0" wp14:anchorId="669B0E82">
            <wp:extent cx="6017260" cy="3061252"/>
            <wp:effectExtent l="0" t="0" r="254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8422" cy="3072018"/>
                    </a:xfrm>
                    <a:prstGeom prst="rect">
                      <a:avLst/>
                    </a:prstGeom>
                    <a:noFill/>
                  </pic:spPr>
                </pic:pic>
              </a:graphicData>
            </a:graphic>
          </wp:inline>
        </w:drawing>
      </w:r>
    </w:p>
    <w:p w:rsidR="00B65A29" w:rsidRDefault="00B65A29" w:rsidP="009A368B">
      <w:pPr>
        <w:tabs>
          <w:tab w:val="left" w:pos="142"/>
        </w:tabs>
        <w:ind w:left="142"/>
        <w:jc w:val="both"/>
      </w:pPr>
    </w:p>
    <w:p w:rsidR="00B65A29" w:rsidRPr="00CE1088" w:rsidRDefault="00B65A29" w:rsidP="00B65A29">
      <w:pPr>
        <w:tabs>
          <w:tab w:val="left" w:pos="142"/>
        </w:tabs>
        <w:autoSpaceDE w:val="0"/>
        <w:autoSpaceDN w:val="0"/>
        <w:adjustRightInd w:val="0"/>
        <w:rPr>
          <w:rStyle w:val="Strong"/>
        </w:rPr>
      </w:pPr>
      <w:r w:rsidRPr="00CE1088">
        <w:rPr>
          <w:rStyle w:val="Strong"/>
        </w:rPr>
        <w:t>PRODAJA TRGOVAČKE ROBE</w:t>
      </w:r>
    </w:p>
    <w:p w:rsidR="00B65A29" w:rsidRDefault="00B65A29" w:rsidP="00B65A29">
      <w:pPr>
        <w:jc w:val="both"/>
      </w:pPr>
      <w:r w:rsidRPr="00BD5E44">
        <w:t>U 201</w:t>
      </w:r>
      <w:r>
        <w:t>9</w:t>
      </w:r>
      <w:r w:rsidRPr="00BD5E44">
        <w:t>. godini na prodajnim mjestima lutrijskih igara na sreću planirana je prodaja trgovačke</w:t>
      </w:r>
      <w:r w:rsidRPr="00BD5E44">
        <w:rPr>
          <w:b/>
        </w:rPr>
        <w:t xml:space="preserve"> </w:t>
      </w:r>
      <w:r w:rsidRPr="00BD5E44">
        <w:t>robe (prodaja Glasnika HL)  i robe u komisiji (bonovi za mobitele: Bonbon, Simpa, Tele 2, Tomato, Vipme). Po toj osnovi planiran je promet u iznosu od 4,</w:t>
      </w:r>
      <w:r>
        <w:t>8</w:t>
      </w:r>
      <w:r w:rsidRPr="00BD5E44">
        <w:t xml:space="preserve"> mil</w:t>
      </w:r>
      <w:r>
        <w:t>ijuna</w:t>
      </w:r>
      <w:r w:rsidRPr="00BD5E44">
        <w:t xml:space="preserve"> kn.</w:t>
      </w:r>
    </w:p>
    <w:p w:rsidR="00B65A29" w:rsidRDefault="00B65A29" w:rsidP="00B65A29">
      <w:pPr>
        <w:jc w:val="both"/>
      </w:pPr>
    </w:p>
    <w:p w:rsidR="00B65A29" w:rsidRPr="00CE1088" w:rsidRDefault="00B65A29" w:rsidP="00B65A29">
      <w:pPr>
        <w:tabs>
          <w:tab w:val="left" w:pos="142"/>
        </w:tabs>
        <w:autoSpaceDE w:val="0"/>
        <w:autoSpaceDN w:val="0"/>
        <w:adjustRightInd w:val="0"/>
        <w:rPr>
          <w:rStyle w:val="Strong"/>
        </w:rPr>
      </w:pPr>
      <w:r w:rsidRPr="00CE1088">
        <w:rPr>
          <w:rStyle w:val="Strong"/>
        </w:rPr>
        <w:t>PROMET IGRE KLAĐENJA</w:t>
      </w:r>
    </w:p>
    <w:p w:rsidR="00B65A29" w:rsidRPr="00CE1088" w:rsidRDefault="00B65A29" w:rsidP="00B65A29">
      <w:pPr>
        <w:pStyle w:val="BodyText3"/>
        <w:tabs>
          <w:tab w:val="clear" w:pos="567"/>
          <w:tab w:val="clear" w:pos="9356"/>
          <w:tab w:val="left" w:pos="142"/>
        </w:tabs>
        <w:ind w:right="0"/>
        <w:rPr>
          <w:rFonts w:ascii="Calibri" w:hAnsi="Calibri" w:cs="Tahoma"/>
          <w:color w:val="000000"/>
          <w:szCs w:val="22"/>
          <w:lang w:val="hr-HR" w:eastAsia="hr-HR"/>
        </w:rPr>
      </w:pPr>
      <w:r w:rsidRPr="00CE1088">
        <w:rPr>
          <w:rFonts w:ascii="Calibri" w:hAnsi="Calibri" w:cs="Tahoma"/>
          <w:color w:val="000000"/>
          <w:szCs w:val="22"/>
          <w:lang w:val="hr-HR" w:eastAsia="hr-HR"/>
        </w:rPr>
        <w:t xml:space="preserve">Uvjeti priređivanja klađenja koja organizira </w:t>
      </w:r>
      <w:r w:rsidR="00B500BA">
        <w:rPr>
          <w:rFonts w:ascii="Calibri" w:hAnsi="Calibri" w:cs="Tahoma"/>
          <w:color w:val="000000"/>
          <w:szCs w:val="22"/>
          <w:lang w:val="hr-HR" w:eastAsia="hr-HR"/>
        </w:rPr>
        <w:t>Hrvatska Lutrija</w:t>
      </w:r>
      <w:r w:rsidRPr="00CE1088">
        <w:rPr>
          <w:rFonts w:ascii="Calibri" w:hAnsi="Calibri" w:cs="Tahoma"/>
          <w:color w:val="000000"/>
          <w:szCs w:val="22"/>
          <w:lang w:val="hr-HR" w:eastAsia="hr-HR"/>
        </w:rPr>
        <w:t xml:space="preserve"> uređena su Općim pravilima klađenja kao i Pravilnikom o priređivanju igara klađenja na daljinu, koji su doneseni u skladu sa Zakonom o igrama na sreću.</w:t>
      </w:r>
    </w:p>
    <w:p w:rsidR="00B65A29" w:rsidRPr="00CE1088" w:rsidRDefault="00B65A29" w:rsidP="00B65A29">
      <w:pPr>
        <w:pStyle w:val="BodyText3"/>
        <w:tabs>
          <w:tab w:val="clear" w:pos="567"/>
          <w:tab w:val="clear" w:pos="9356"/>
          <w:tab w:val="left" w:pos="142"/>
        </w:tabs>
        <w:ind w:right="0"/>
        <w:rPr>
          <w:rFonts w:ascii="Calibri" w:hAnsi="Calibri" w:cs="Tahoma"/>
          <w:color w:val="000000"/>
          <w:szCs w:val="22"/>
          <w:lang w:val="hr-HR" w:eastAsia="hr-HR"/>
        </w:rPr>
      </w:pPr>
    </w:p>
    <w:p w:rsidR="00B65A29" w:rsidRPr="006B4D69" w:rsidRDefault="00B65A29" w:rsidP="006B4D69">
      <w:pPr>
        <w:pStyle w:val="BodyText3"/>
        <w:tabs>
          <w:tab w:val="clear" w:pos="567"/>
          <w:tab w:val="clear" w:pos="9356"/>
          <w:tab w:val="left" w:pos="142"/>
        </w:tabs>
        <w:ind w:right="0"/>
        <w:rPr>
          <w:rFonts w:ascii="Calibri" w:hAnsi="Calibri" w:cs="Tahoma"/>
          <w:szCs w:val="22"/>
          <w:lang w:val="hr-HR" w:eastAsia="hr-HR"/>
        </w:rPr>
      </w:pPr>
      <w:r w:rsidRPr="005269A6">
        <w:rPr>
          <w:rFonts w:ascii="Calibri" w:hAnsi="Calibri" w:cs="Tahoma"/>
          <w:szCs w:val="22"/>
          <w:lang w:val="hr-HR" w:eastAsia="hr-HR"/>
        </w:rPr>
        <w:t>U 201</w:t>
      </w:r>
      <w:r>
        <w:rPr>
          <w:rFonts w:ascii="Calibri" w:hAnsi="Calibri" w:cs="Tahoma"/>
          <w:szCs w:val="22"/>
          <w:lang w:val="hr-HR" w:eastAsia="hr-HR"/>
        </w:rPr>
        <w:t>9</w:t>
      </w:r>
      <w:r w:rsidRPr="005269A6">
        <w:rPr>
          <w:rFonts w:ascii="Calibri" w:hAnsi="Calibri" w:cs="Tahoma"/>
          <w:szCs w:val="22"/>
          <w:lang w:val="hr-HR" w:eastAsia="hr-HR"/>
        </w:rPr>
        <w:t xml:space="preserve">. godini očekuje se uplata za igru klađenje u iznosu od </w:t>
      </w:r>
      <w:r w:rsidR="006F3CCC">
        <w:rPr>
          <w:rFonts w:ascii="Calibri" w:hAnsi="Calibri" w:cs="Tahoma"/>
          <w:szCs w:val="22"/>
          <w:lang w:val="hr-HR" w:eastAsia="hr-HR"/>
        </w:rPr>
        <w:t>514</w:t>
      </w:r>
      <w:r>
        <w:rPr>
          <w:rFonts w:ascii="Calibri" w:hAnsi="Calibri" w:cs="Tahoma"/>
          <w:szCs w:val="22"/>
          <w:lang w:val="hr-HR" w:eastAsia="hr-HR"/>
        </w:rPr>
        <w:t>,9</w:t>
      </w:r>
      <w:r w:rsidRPr="005269A6">
        <w:rPr>
          <w:rFonts w:ascii="Calibri" w:hAnsi="Calibri" w:cs="Tahoma"/>
          <w:szCs w:val="22"/>
          <w:lang w:val="hr-HR" w:eastAsia="hr-HR"/>
        </w:rPr>
        <w:t xml:space="preserve"> mil.kn, što je za </w:t>
      </w:r>
      <w:r>
        <w:rPr>
          <w:rFonts w:ascii="Calibri" w:hAnsi="Calibri" w:cs="Tahoma"/>
          <w:szCs w:val="22"/>
          <w:lang w:val="hr-HR" w:eastAsia="hr-HR"/>
        </w:rPr>
        <w:t>4,9</w:t>
      </w:r>
      <w:r w:rsidRPr="005269A6">
        <w:rPr>
          <w:rFonts w:ascii="Calibri" w:hAnsi="Calibri" w:cs="Tahoma"/>
          <w:szCs w:val="22"/>
          <w:lang w:val="hr-HR" w:eastAsia="hr-HR"/>
        </w:rPr>
        <w:t>% više od procjene za 201</w:t>
      </w:r>
      <w:r>
        <w:rPr>
          <w:rFonts w:ascii="Calibri" w:hAnsi="Calibri" w:cs="Tahoma"/>
          <w:szCs w:val="22"/>
          <w:lang w:val="hr-HR" w:eastAsia="hr-HR"/>
        </w:rPr>
        <w:t>8</w:t>
      </w:r>
      <w:r w:rsidRPr="005269A6">
        <w:rPr>
          <w:rFonts w:ascii="Calibri" w:hAnsi="Calibri" w:cs="Tahoma"/>
          <w:szCs w:val="22"/>
          <w:lang w:val="hr-HR" w:eastAsia="hr-HR"/>
        </w:rPr>
        <w:t xml:space="preserve">. godinu. </w:t>
      </w:r>
    </w:p>
    <w:p w:rsidR="00B65A29" w:rsidRDefault="00B65A29" w:rsidP="00B65A29">
      <w:pPr>
        <w:jc w:val="center"/>
      </w:pPr>
      <w:r>
        <w:rPr>
          <w:noProof/>
        </w:rPr>
        <w:lastRenderedPageBreak/>
        <w:drawing>
          <wp:inline distT="0" distB="0" distL="0" distR="0" wp14:anchorId="1A2C6925">
            <wp:extent cx="4572635" cy="274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rsidR="00B65A29" w:rsidRDefault="00B65A29" w:rsidP="00B65A29">
      <w:pPr>
        <w:pStyle w:val="BodyText3"/>
        <w:tabs>
          <w:tab w:val="clear" w:pos="567"/>
          <w:tab w:val="clear" w:pos="9356"/>
          <w:tab w:val="left" w:pos="142"/>
        </w:tabs>
        <w:ind w:right="0"/>
        <w:rPr>
          <w:rFonts w:ascii="Calibri" w:hAnsi="Calibri" w:cs="Tahoma"/>
          <w:color w:val="000000"/>
          <w:szCs w:val="22"/>
          <w:lang w:val="hr-HR" w:eastAsia="hr-HR"/>
        </w:rPr>
      </w:pPr>
      <w:r w:rsidRPr="00111EAE">
        <w:rPr>
          <w:rFonts w:ascii="Calibri" w:hAnsi="Calibri" w:cs="Tahoma"/>
          <w:color w:val="000000"/>
          <w:szCs w:val="22"/>
          <w:lang w:val="hr-HR" w:eastAsia="hr-HR"/>
        </w:rPr>
        <w:t>Prodaja igre klađenja obavlja se na vlastitim prodajnim mjestima, na prodajnim mjestima u poslovnoj suradnji, putem Interneta te putem HL BOX-a. U Tablici 3/2 prikazan je pregled prometa igre klađenja po kanalima prodaje.</w:t>
      </w:r>
    </w:p>
    <w:p w:rsidR="00B65A29" w:rsidRDefault="00B65A29" w:rsidP="00B65A29">
      <w:pPr>
        <w:pStyle w:val="BodyText3"/>
        <w:tabs>
          <w:tab w:val="clear" w:pos="567"/>
          <w:tab w:val="clear" w:pos="9356"/>
          <w:tab w:val="left" w:pos="142"/>
        </w:tabs>
        <w:ind w:right="0"/>
        <w:rPr>
          <w:rFonts w:ascii="Calibri" w:hAnsi="Calibri" w:cs="Tahoma"/>
          <w:color w:val="000000"/>
          <w:szCs w:val="22"/>
          <w:lang w:val="hr-HR" w:eastAsia="hr-HR"/>
        </w:rPr>
      </w:pPr>
    </w:p>
    <w:p w:rsidR="00B65A29" w:rsidRPr="00CE1088" w:rsidRDefault="00B65A29" w:rsidP="00B65A29">
      <w:pPr>
        <w:rPr>
          <w:b/>
          <w:caps/>
        </w:rPr>
      </w:pPr>
      <w:r w:rsidRPr="00CE1088">
        <w:rPr>
          <w:b/>
        </w:rPr>
        <w:t>Tablica 3</w:t>
      </w:r>
      <w:r>
        <w:rPr>
          <w:b/>
        </w:rPr>
        <w:t>/2</w:t>
      </w:r>
      <w:r w:rsidRPr="00CE1088">
        <w:rPr>
          <w:b/>
        </w:rPr>
        <w:t xml:space="preserve">: </w:t>
      </w:r>
      <w:r w:rsidRPr="00CE1088">
        <w:rPr>
          <w:b/>
          <w:caps/>
        </w:rPr>
        <w:t>Promet igre klađenja po kanalima prodaje</w:t>
      </w:r>
    </w:p>
    <w:p w:rsidR="00B65A29" w:rsidRDefault="005C4D79" w:rsidP="00B65A29">
      <w:pPr>
        <w:pStyle w:val="BodyText3"/>
        <w:tabs>
          <w:tab w:val="clear" w:pos="567"/>
          <w:tab w:val="clear" w:pos="9356"/>
          <w:tab w:val="left" w:pos="142"/>
        </w:tabs>
        <w:ind w:right="0"/>
        <w:rPr>
          <w:rFonts w:ascii="Calibri" w:hAnsi="Calibri" w:cs="Tahoma"/>
          <w:color w:val="000000"/>
          <w:szCs w:val="22"/>
          <w:lang w:val="hr-HR" w:eastAsia="hr-HR"/>
        </w:rPr>
      </w:pPr>
      <w:r w:rsidRPr="005C4D79">
        <w:rPr>
          <w:noProof/>
          <w:lang w:val="hr-HR" w:eastAsia="hr-HR"/>
        </w:rPr>
        <w:drawing>
          <wp:inline distT="0" distB="0" distL="0" distR="0">
            <wp:extent cx="6120765" cy="1711188"/>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765" cy="1711188"/>
                    </a:xfrm>
                    <a:prstGeom prst="rect">
                      <a:avLst/>
                    </a:prstGeom>
                    <a:noFill/>
                    <a:ln>
                      <a:noFill/>
                    </a:ln>
                  </pic:spPr>
                </pic:pic>
              </a:graphicData>
            </a:graphic>
          </wp:inline>
        </w:drawing>
      </w:r>
    </w:p>
    <w:p w:rsidR="00B65A29" w:rsidRDefault="00B65A29" w:rsidP="00B65A29">
      <w:pPr>
        <w:pStyle w:val="BodyText3"/>
        <w:tabs>
          <w:tab w:val="clear" w:pos="567"/>
          <w:tab w:val="clear" w:pos="9356"/>
          <w:tab w:val="left" w:pos="142"/>
        </w:tabs>
        <w:ind w:right="0"/>
        <w:rPr>
          <w:rFonts w:ascii="Calibri" w:hAnsi="Calibri" w:cs="Tahoma"/>
          <w:color w:val="000000"/>
          <w:szCs w:val="22"/>
          <w:lang w:val="hr-HR" w:eastAsia="hr-HR"/>
        </w:rPr>
      </w:pPr>
    </w:p>
    <w:p w:rsidR="00B65A29" w:rsidRPr="00111EAE" w:rsidRDefault="00B65A29" w:rsidP="00B65A29">
      <w:pPr>
        <w:pStyle w:val="BodyText3"/>
        <w:tabs>
          <w:tab w:val="clear" w:pos="567"/>
          <w:tab w:val="clear" w:pos="9356"/>
          <w:tab w:val="left" w:pos="142"/>
        </w:tabs>
        <w:ind w:right="0"/>
        <w:rPr>
          <w:rFonts w:ascii="Calibri" w:hAnsi="Calibri" w:cs="Tahoma"/>
          <w:color w:val="000000"/>
          <w:szCs w:val="22"/>
          <w:lang w:val="hr-HR" w:eastAsia="hr-HR"/>
        </w:rPr>
      </w:pPr>
    </w:p>
    <w:p w:rsidR="00B65A29" w:rsidRDefault="005C4D79" w:rsidP="009A368B">
      <w:pPr>
        <w:tabs>
          <w:tab w:val="left" w:pos="142"/>
        </w:tabs>
        <w:ind w:left="142"/>
        <w:jc w:val="both"/>
      </w:pPr>
      <w:r>
        <w:rPr>
          <w:noProof/>
        </w:rPr>
        <w:drawing>
          <wp:inline distT="0" distB="0" distL="0" distR="0" wp14:anchorId="45291FB9">
            <wp:extent cx="6151245" cy="2623930"/>
            <wp:effectExtent l="0" t="0" r="1905"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59260" cy="2627349"/>
                    </a:xfrm>
                    <a:prstGeom prst="rect">
                      <a:avLst/>
                    </a:prstGeom>
                    <a:noFill/>
                  </pic:spPr>
                </pic:pic>
              </a:graphicData>
            </a:graphic>
          </wp:inline>
        </w:drawing>
      </w:r>
    </w:p>
    <w:p w:rsidR="00634CDD" w:rsidRPr="004B2BF5" w:rsidRDefault="00634CDD" w:rsidP="00634CDD">
      <w:pPr>
        <w:pStyle w:val="BodyText3"/>
        <w:tabs>
          <w:tab w:val="clear" w:pos="567"/>
          <w:tab w:val="clear" w:pos="9356"/>
          <w:tab w:val="left" w:pos="142"/>
        </w:tabs>
        <w:ind w:right="0"/>
        <w:rPr>
          <w:rFonts w:ascii="Calibri" w:hAnsi="Calibri" w:cs="Tahoma"/>
          <w:color w:val="000000"/>
          <w:szCs w:val="22"/>
          <w:lang w:val="hr-HR" w:eastAsia="hr-HR"/>
        </w:rPr>
      </w:pPr>
      <w:r w:rsidRPr="004B2BF5">
        <w:rPr>
          <w:rFonts w:ascii="Calibri" w:hAnsi="Calibri" w:cs="Tahoma"/>
          <w:color w:val="000000"/>
          <w:szCs w:val="22"/>
          <w:lang w:val="hr-HR" w:eastAsia="hr-HR"/>
        </w:rPr>
        <w:t>Strateške inicijative koje idu u smjeru značajnog povećanja udjela na tržištu odnose se na aktivnosti ukupne modernizacije portfelja igara uz jaku marketinšku podršku.</w:t>
      </w:r>
    </w:p>
    <w:p w:rsidR="00634CDD" w:rsidRDefault="00634CDD" w:rsidP="009A368B">
      <w:pPr>
        <w:tabs>
          <w:tab w:val="left" w:pos="142"/>
        </w:tabs>
        <w:ind w:left="142"/>
        <w:jc w:val="both"/>
      </w:pPr>
    </w:p>
    <w:p w:rsidR="00634CDD" w:rsidRDefault="00634CDD" w:rsidP="00634CDD">
      <w:pPr>
        <w:tabs>
          <w:tab w:val="left" w:pos="142"/>
        </w:tabs>
        <w:autoSpaceDE w:val="0"/>
        <w:autoSpaceDN w:val="0"/>
        <w:adjustRightInd w:val="0"/>
        <w:rPr>
          <w:rStyle w:val="Strong"/>
        </w:rPr>
      </w:pPr>
      <w:r w:rsidRPr="00CE1088">
        <w:rPr>
          <w:rStyle w:val="Strong"/>
        </w:rPr>
        <w:lastRenderedPageBreak/>
        <w:t>PRIHODI OD IGARA NA SREĆU NA AUTOMATIMA I IGARA U CASINIMA</w:t>
      </w:r>
    </w:p>
    <w:p w:rsidR="00634CDD" w:rsidRDefault="00634CDD" w:rsidP="00634CDD">
      <w:pPr>
        <w:jc w:val="both"/>
      </w:pPr>
      <w:r w:rsidRPr="000F672C">
        <w:t>U 201</w:t>
      </w:r>
      <w:r>
        <w:t>9</w:t>
      </w:r>
      <w:r w:rsidRPr="000F672C">
        <w:t xml:space="preserve">. godini planira se priređivanje igara na sreću u </w:t>
      </w:r>
      <w:r w:rsidR="00E600B1">
        <w:t>12</w:t>
      </w:r>
      <w:r w:rsidRPr="000F672C">
        <w:t xml:space="preserve"> automat klubova, </w:t>
      </w:r>
      <w:r>
        <w:t xml:space="preserve">uz provođenje evaluacije uspješnosti i kontinuirano praćenje rentabilnosti pojedinih lokacija, zatim </w:t>
      </w:r>
      <w:r w:rsidRPr="000F672C">
        <w:t>u 1 casinu</w:t>
      </w:r>
      <w:r>
        <w:t xml:space="preserve"> HL</w:t>
      </w:r>
      <w:r w:rsidRPr="000F672C">
        <w:t>, širenjem mreže automata u kladionicama (na prodajnim mjestima za uplatu klađ</w:t>
      </w:r>
      <w:r w:rsidR="00E600B1">
        <w:t xml:space="preserve">enja i lutrijskih igara) te od </w:t>
      </w:r>
      <w:r w:rsidRPr="000F672C">
        <w:t>casino igara putem Interneta.</w:t>
      </w:r>
    </w:p>
    <w:p w:rsidR="00E600B1" w:rsidRDefault="00E600B1" w:rsidP="00E600B1">
      <w:pPr>
        <w:jc w:val="both"/>
      </w:pPr>
      <w:r w:rsidRPr="000F672C">
        <w:t xml:space="preserve">Planirani prihodi (uplate umanjene za dobitke u igri) od </w:t>
      </w:r>
      <w:r w:rsidR="00E800DE" w:rsidRPr="00E800DE">
        <w:rPr>
          <w:bCs/>
        </w:rPr>
        <w:t>igara na sreću na automatima i igara u casinima</w:t>
      </w:r>
      <w:r w:rsidR="00E800DE" w:rsidRPr="00E800DE">
        <w:t xml:space="preserve"> </w:t>
      </w:r>
      <w:r w:rsidRPr="000F672C">
        <w:t>za 201</w:t>
      </w:r>
      <w:r>
        <w:t>9</w:t>
      </w:r>
      <w:r w:rsidRPr="000F672C">
        <w:t xml:space="preserve">. godinu iznose ukupno </w:t>
      </w:r>
      <w:r>
        <w:t>159,1</w:t>
      </w:r>
      <w:r w:rsidRPr="000F672C">
        <w:t xml:space="preserve"> mil</w:t>
      </w:r>
      <w:r>
        <w:t>ijuna</w:t>
      </w:r>
      <w:r w:rsidRPr="000F672C">
        <w:t xml:space="preserve"> kn, što je za </w:t>
      </w:r>
      <w:r w:rsidRPr="00E600B1">
        <w:t xml:space="preserve">21,12% </w:t>
      </w:r>
      <w:r w:rsidRPr="000F672C">
        <w:t>više od prihoda procijenjenih za 201</w:t>
      </w:r>
      <w:r>
        <w:t>8</w:t>
      </w:r>
      <w:r w:rsidRPr="000F672C">
        <w:t>. godinu.</w:t>
      </w:r>
    </w:p>
    <w:p w:rsidR="00E600B1" w:rsidRDefault="00E600B1" w:rsidP="00E600B1">
      <w:pPr>
        <w:jc w:val="center"/>
      </w:pPr>
      <w:r>
        <w:rPr>
          <w:noProof/>
        </w:rPr>
        <w:drawing>
          <wp:inline distT="0" distB="0" distL="0" distR="0" wp14:anchorId="6BC4948F">
            <wp:extent cx="4932045" cy="3395980"/>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32045" cy="3395980"/>
                    </a:xfrm>
                    <a:prstGeom prst="rect">
                      <a:avLst/>
                    </a:prstGeom>
                    <a:noFill/>
                  </pic:spPr>
                </pic:pic>
              </a:graphicData>
            </a:graphic>
          </wp:inline>
        </w:drawing>
      </w:r>
    </w:p>
    <w:p w:rsidR="00ED231D" w:rsidRDefault="00ED231D" w:rsidP="00E600B1">
      <w:pPr>
        <w:jc w:val="both"/>
      </w:pPr>
    </w:p>
    <w:p w:rsidR="00ED231D" w:rsidRDefault="00A7523F" w:rsidP="007A136F">
      <w:pPr>
        <w:pStyle w:val="Heading1"/>
        <w:numPr>
          <w:ilvl w:val="1"/>
          <w:numId w:val="38"/>
        </w:numPr>
        <w:jc w:val="both"/>
        <w:rPr>
          <w:rFonts w:ascii="Calibri" w:hAnsi="Calibri" w:cs="Calibri"/>
          <w:sz w:val="28"/>
          <w:szCs w:val="28"/>
        </w:rPr>
      </w:pPr>
      <w:bookmarkStart w:id="35" w:name="_Toc433472806"/>
      <w:bookmarkStart w:id="36" w:name="_Toc433472881"/>
      <w:bookmarkStart w:id="37" w:name="_Toc469921247"/>
      <w:bookmarkStart w:id="38" w:name="_Toc501009102"/>
      <w:bookmarkStart w:id="39" w:name="_Toc532299632"/>
      <w:r w:rsidRPr="0028666C">
        <w:rPr>
          <w:rFonts w:ascii="Calibri" w:hAnsi="Calibri" w:cs="Calibri"/>
          <w:sz w:val="28"/>
          <w:szCs w:val="28"/>
        </w:rPr>
        <w:t>Financijski rezultat</w:t>
      </w:r>
      <w:bookmarkEnd w:id="35"/>
      <w:bookmarkEnd w:id="36"/>
      <w:r>
        <w:rPr>
          <w:rFonts w:ascii="Calibri" w:hAnsi="Calibri" w:cs="Calibri"/>
          <w:sz w:val="28"/>
          <w:szCs w:val="28"/>
        </w:rPr>
        <w:t xml:space="preserve"> za 2019. g</w:t>
      </w:r>
      <w:r w:rsidRPr="0028666C">
        <w:rPr>
          <w:rFonts w:ascii="Calibri" w:hAnsi="Calibri" w:cs="Calibri"/>
          <w:sz w:val="28"/>
          <w:szCs w:val="28"/>
        </w:rPr>
        <w:t>odinu</w:t>
      </w:r>
      <w:bookmarkEnd w:id="37"/>
      <w:bookmarkEnd w:id="38"/>
      <w:bookmarkEnd w:id="39"/>
    </w:p>
    <w:p w:rsidR="00ED231D" w:rsidRPr="00ED231D" w:rsidRDefault="00ED231D" w:rsidP="00ED231D"/>
    <w:p w:rsidR="00ED231D" w:rsidRPr="002A4BA8" w:rsidRDefault="00ED231D" w:rsidP="00ED231D">
      <w:pPr>
        <w:tabs>
          <w:tab w:val="left" w:pos="0"/>
          <w:tab w:val="left" w:pos="284"/>
        </w:tabs>
        <w:jc w:val="both"/>
      </w:pPr>
      <w:r w:rsidRPr="002A4BA8">
        <w:t xml:space="preserve">Ukupni prihodi </w:t>
      </w:r>
      <w:r w:rsidR="00E800DE">
        <w:t>Hrvatske Lutrije</w:t>
      </w:r>
      <w:r w:rsidRPr="002A4BA8">
        <w:t xml:space="preserve"> za 201</w:t>
      </w:r>
      <w:r w:rsidR="000721BF">
        <w:t>9</w:t>
      </w:r>
      <w:r w:rsidRPr="002A4BA8">
        <w:t xml:space="preserve">. godinu planirani su u iznosu od </w:t>
      </w:r>
      <w:r w:rsidR="000721BF">
        <w:t>634</w:t>
      </w:r>
      <w:r>
        <w:t>,</w:t>
      </w:r>
      <w:r w:rsidR="000721BF">
        <w:t>4</w:t>
      </w:r>
      <w:r w:rsidRPr="002A4BA8">
        <w:t xml:space="preserve"> mil</w:t>
      </w:r>
      <w:r>
        <w:t>ijuna</w:t>
      </w:r>
      <w:r w:rsidRPr="002A4BA8">
        <w:t xml:space="preserve"> kn, što je za </w:t>
      </w:r>
      <w:r w:rsidR="000721BF">
        <w:t>6</w:t>
      </w:r>
      <w:r>
        <w:t>,</w:t>
      </w:r>
      <w:r w:rsidR="000721BF">
        <w:t>15</w:t>
      </w:r>
      <w:r w:rsidRPr="002A4BA8">
        <w:t>% više od ukupnih prihoda procijenjenih za 201</w:t>
      </w:r>
      <w:r w:rsidR="000721BF">
        <w:t>8</w:t>
      </w:r>
      <w:r w:rsidRPr="002A4BA8">
        <w:t>. godinu. Ukupni prihodi sastoje se od prihoda od igara na sreću, prihoda od prodaje robe, prihoda od zakupnina, ostalih prihoda iz redovitog poslovanja i financijskih prihoda.</w:t>
      </w:r>
    </w:p>
    <w:p w:rsidR="00ED231D" w:rsidRDefault="00ED231D" w:rsidP="00ED231D">
      <w:pPr>
        <w:tabs>
          <w:tab w:val="left" w:pos="0"/>
          <w:tab w:val="left" w:pos="284"/>
        </w:tabs>
        <w:jc w:val="both"/>
      </w:pPr>
      <w:r w:rsidRPr="00CE1088">
        <w:t>U strukturi ukupnih prihoda najveći udio od 98,</w:t>
      </w:r>
      <w:r>
        <w:t>77</w:t>
      </w:r>
      <w:r w:rsidRPr="00CE1088">
        <w:t xml:space="preserve"> % imaju p</w:t>
      </w:r>
      <w:r w:rsidR="000721BF">
        <w:t>rihodi od igara na sreću. Ukupno planiran</w:t>
      </w:r>
      <w:r w:rsidRPr="00CE1088">
        <w:t xml:space="preserve"> prihod od igara na sreću iznosi </w:t>
      </w:r>
      <w:r w:rsidR="000721BF">
        <w:t>626</w:t>
      </w:r>
      <w:r>
        <w:t>,</w:t>
      </w:r>
      <w:r w:rsidR="000721BF">
        <w:t>6</w:t>
      </w:r>
      <w:r w:rsidRPr="00CE1088">
        <w:t xml:space="preserve"> mil</w:t>
      </w:r>
      <w:r>
        <w:t>ijuna</w:t>
      </w:r>
      <w:r w:rsidRPr="00CE1088">
        <w:t xml:space="preserve"> kn, što je za </w:t>
      </w:r>
      <w:r w:rsidR="000721BF">
        <w:t>6</w:t>
      </w:r>
      <w:r>
        <w:t>,</w:t>
      </w:r>
      <w:r w:rsidR="000721BF">
        <w:t>53</w:t>
      </w:r>
      <w:r w:rsidRPr="00CE1088">
        <w:t xml:space="preserve">% više od procijenjenih za </w:t>
      </w:r>
      <w:r>
        <w:t>201</w:t>
      </w:r>
      <w:r w:rsidR="000721BF">
        <w:t>8</w:t>
      </w:r>
      <w:r>
        <w:t>.</w:t>
      </w:r>
      <w:r w:rsidRPr="00CE1088">
        <w:t xml:space="preserve"> godinu. </w:t>
      </w:r>
    </w:p>
    <w:p w:rsidR="00ED231D" w:rsidRDefault="00ED231D" w:rsidP="00ED231D">
      <w:pPr>
        <w:tabs>
          <w:tab w:val="left" w:pos="0"/>
          <w:tab w:val="left" w:pos="284"/>
        </w:tabs>
        <w:jc w:val="both"/>
        <w:rPr>
          <w:b/>
        </w:rPr>
      </w:pPr>
    </w:p>
    <w:p w:rsidR="00ED231D" w:rsidRPr="00CE1088" w:rsidRDefault="00ED231D" w:rsidP="00ED231D">
      <w:pPr>
        <w:tabs>
          <w:tab w:val="left" w:pos="0"/>
          <w:tab w:val="left" w:pos="284"/>
        </w:tabs>
        <w:jc w:val="both"/>
        <w:rPr>
          <w:b/>
        </w:rPr>
      </w:pPr>
      <w:r w:rsidRPr="00CE1088">
        <w:rPr>
          <w:b/>
        </w:rPr>
        <w:lastRenderedPageBreak/>
        <w:t>Prihode od igara na sreću čine:</w:t>
      </w:r>
      <w:r w:rsidRPr="00CE1088">
        <w:rPr>
          <w:b/>
        </w:rPr>
        <w:tab/>
      </w:r>
      <w:r w:rsidRPr="00CE1088">
        <w:rPr>
          <w:b/>
        </w:rPr>
        <w:tab/>
      </w:r>
      <w:r w:rsidRPr="00CE1088">
        <w:rPr>
          <w:b/>
        </w:rPr>
        <w:tab/>
      </w:r>
      <w:r w:rsidRPr="00CE1088">
        <w:rPr>
          <w:b/>
        </w:rPr>
        <w:tab/>
      </w:r>
      <w:r w:rsidRPr="00CE1088">
        <w:rPr>
          <w:b/>
        </w:rPr>
        <w:tab/>
      </w:r>
      <w:r w:rsidRPr="00CE1088">
        <w:rPr>
          <w:b/>
        </w:rPr>
        <w:tab/>
      </w:r>
      <w:r w:rsidRPr="00CE1088">
        <w:rPr>
          <w:b/>
        </w:rPr>
        <w:tab/>
        <w:t xml:space="preserve">               </w:t>
      </w:r>
      <w:r w:rsidRPr="00CE1088">
        <w:rPr>
          <w:b/>
        </w:rPr>
        <w:tab/>
        <w:t xml:space="preserve">    u mil. kn</w:t>
      </w:r>
    </w:p>
    <w:p w:rsidR="00ED231D" w:rsidRPr="00CE1088" w:rsidRDefault="00ED231D" w:rsidP="00B47E3F">
      <w:pPr>
        <w:numPr>
          <w:ilvl w:val="0"/>
          <w:numId w:val="9"/>
        </w:numPr>
        <w:tabs>
          <w:tab w:val="left" w:pos="0"/>
          <w:tab w:val="left" w:pos="284"/>
        </w:tabs>
        <w:spacing w:after="0" w:line="240" w:lineRule="auto"/>
        <w:ind w:left="0" w:firstLine="0"/>
        <w:jc w:val="both"/>
      </w:pPr>
      <w:r w:rsidRPr="00CE1088">
        <w:t>prihodi lutrijskih igara na sreću</w:t>
      </w:r>
      <w:r w:rsidRPr="00CE1088">
        <w:tab/>
      </w:r>
      <w:r w:rsidRPr="00CE1088">
        <w:tab/>
      </w:r>
      <w:r w:rsidRPr="00CE1088">
        <w:tab/>
      </w:r>
      <w:r w:rsidRPr="00CE1088">
        <w:tab/>
      </w:r>
      <w:r w:rsidRPr="00CE1088">
        <w:tab/>
      </w:r>
      <w:r w:rsidRPr="00CE1088">
        <w:tab/>
      </w:r>
      <w:r w:rsidRPr="00CE1088">
        <w:tab/>
      </w:r>
      <w:r w:rsidRPr="00CE1088">
        <w:tab/>
      </w:r>
      <w:r w:rsidRPr="00DB4BAA">
        <w:rPr>
          <w:color w:val="FF0000"/>
        </w:rPr>
        <w:t xml:space="preserve">          </w:t>
      </w:r>
      <w:r w:rsidR="000721BF">
        <w:t>358</w:t>
      </w:r>
      <w:r>
        <w:t>,</w:t>
      </w:r>
      <w:r w:rsidR="000721BF">
        <w:t>3</w:t>
      </w:r>
    </w:p>
    <w:p w:rsidR="00ED231D" w:rsidRPr="002A4BA8" w:rsidRDefault="00ED231D" w:rsidP="00ED231D">
      <w:pPr>
        <w:tabs>
          <w:tab w:val="left" w:pos="0"/>
          <w:tab w:val="left" w:pos="284"/>
        </w:tabs>
        <w:spacing w:line="240" w:lineRule="atLeast"/>
        <w:jc w:val="both"/>
      </w:pPr>
      <w:r w:rsidRPr="002A4BA8">
        <w:t>(</w:t>
      </w:r>
      <w:r w:rsidR="000721BF">
        <w:t>uplata od  788</w:t>
      </w:r>
      <w:r w:rsidRPr="00801959">
        <w:t>,</w:t>
      </w:r>
      <w:r w:rsidR="000721BF">
        <w:t>9</w:t>
      </w:r>
      <w:r w:rsidRPr="00801959">
        <w:t xml:space="preserve"> mil. kn umanjena je za planirani  fond d</w:t>
      </w:r>
      <w:r w:rsidR="000721BF">
        <w:t>obitaka igračima u iznosu od 430</w:t>
      </w:r>
      <w:r w:rsidRPr="00801959">
        <w:t>,</w:t>
      </w:r>
      <w:r w:rsidR="000721BF">
        <w:t>6</w:t>
      </w:r>
      <w:r w:rsidRPr="00801959">
        <w:t xml:space="preserve"> mil. kn)</w:t>
      </w:r>
    </w:p>
    <w:p w:rsidR="00ED231D" w:rsidRPr="00E20872" w:rsidRDefault="00ED231D" w:rsidP="00B47E3F">
      <w:pPr>
        <w:numPr>
          <w:ilvl w:val="0"/>
          <w:numId w:val="9"/>
        </w:numPr>
        <w:tabs>
          <w:tab w:val="left" w:pos="0"/>
          <w:tab w:val="left" w:pos="284"/>
        </w:tabs>
        <w:spacing w:after="0" w:line="240" w:lineRule="auto"/>
        <w:ind w:left="0" w:firstLine="0"/>
        <w:jc w:val="both"/>
      </w:pPr>
      <w:r w:rsidRPr="00E20872">
        <w:t>prihodi klađenja</w:t>
      </w:r>
      <w:r w:rsidRPr="00E20872">
        <w:tab/>
      </w:r>
      <w:r w:rsidRPr="00E20872">
        <w:tab/>
      </w:r>
      <w:r w:rsidRPr="00E20872">
        <w:tab/>
      </w:r>
      <w:r w:rsidRPr="00E20872">
        <w:tab/>
      </w:r>
      <w:r w:rsidRPr="00E20872">
        <w:tab/>
      </w:r>
      <w:r w:rsidRPr="00E20872">
        <w:tab/>
      </w:r>
      <w:r w:rsidRPr="00E20872">
        <w:tab/>
      </w:r>
      <w:r w:rsidRPr="00E20872">
        <w:tab/>
      </w:r>
      <w:r w:rsidRPr="00E20872">
        <w:tab/>
      </w:r>
      <w:r w:rsidRPr="00E20872">
        <w:tab/>
        <w:t xml:space="preserve">           </w:t>
      </w:r>
      <w:r w:rsidR="000721BF">
        <w:t>109</w:t>
      </w:r>
      <w:r>
        <w:t>,1</w:t>
      </w:r>
    </w:p>
    <w:p w:rsidR="00ED231D" w:rsidRDefault="00ED231D" w:rsidP="00ED231D">
      <w:pPr>
        <w:tabs>
          <w:tab w:val="left" w:pos="0"/>
          <w:tab w:val="left" w:pos="284"/>
        </w:tabs>
        <w:jc w:val="both"/>
      </w:pPr>
      <w:r w:rsidRPr="0035764D">
        <w:t xml:space="preserve">(dio uplate od </w:t>
      </w:r>
      <w:r w:rsidR="000721BF">
        <w:t>514</w:t>
      </w:r>
      <w:r w:rsidRPr="0035764D">
        <w:t>,</w:t>
      </w:r>
      <w:r w:rsidR="000721BF">
        <w:t>9</w:t>
      </w:r>
      <w:r w:rsidRPr="0035764D">
        <w:t xml:space="preserve"> mil.kn umanjen je za očekivane isplate</w:t>
      </w:r>
      <w:r>
        <w:t xml:space="preserve"> </w:t>
      </w:r>
      <w:r w:rsidRPr="0035764D">
        <w:t xml:space="preserve">igračima u iznosu od </w:t>
      </w:r>
      <w:r w:rsidR="000721BF">
        <w:t>405</w:t>
      </w:r>
      <w:r w:rsidRPr="0035764D">
        <w:t>,</w:t>
      </w:r>
      <w:r w:rsidR="000721BF">
        <w:t>8</w:t>
      </w:r>
      <w:r w:rsidRPr="0035764D">
        <w:t xml:space="preserve"> mil. kn, </w:t>
      </w:r>
    </w:p>
    <w:p w:rsidR="00ED231D" w:rsidRPr="00E20872" w:rsidRDefault="00ED231D" w:rsidP="00ED231D">
      <w:pPr>
        <w:tabs>
          <w:tab w:val="left" w:pos="0"/>
          <w:tab w:val="left" w:pos="284"/>
        </w:tabs>
        <w:jc w:val="both"/>
      </w:pPr>
      <w:r w:rsidRPr="0035764D">
        <w:t>a prihodi od  manipulativnog troška iznose 2</w:t>
      </w:r>
      <w:r w:rsidR="000721BF">
        <w:t>5</w:t>
      </w:r>
      <w:r w:rsidRPr="0035764D">
        <w:t>,</w:t>
      </w:r>
      <w:r w:rsidR="000721BF">
        <w:t>7</w:t>
      </w:r>
      <w:r w:rsidRPr="0035764D">
        <w:t xml:space="preserve"> mil. kn)</w:t>
      </w:r>
    </w:p>
    <w:p w:rsidR="00ED231D" w:rsidRPr="00E20872" w:rsidRDefault="00ED231D" w:rsidP="00B47E3F">
      <w:pPr>
        <w:numPr>
          <w:ilvl w:val="0"/>
          <w:numId w:val="9"/>
        </w:numPr>
        <w:tabs>
          <w:tab w:val="left" w:pos="0"/>
          <w:tab w:val="left" w:pos="284"/>
        </w:tabs>
        <w:spacing w:after="0" w:line="240" w:lineRule="auto"/>
        <w:ind w:left="0" w:firstLine="0"/>
        <w:jc w:val="both"/>
      </w:pPr>
      <w:r w:rsidRPr="00E20872">
        <w:t xml:space="preserve">prihodi od </w:t>
      </w:r>
      <w:r w:rsidR="000721BF">
        <w:t>igara</w:t>
      </w:r>
      <w:r w:rsidRPr="00E20872">
        <w:t xml:space="preserve"> na sreću</w:t>
      </w:r>
      <w:r w:rsidR="000721BF">
        <w:t xml:space="preserve"> na automatima</w:t>
      </w:r>
      <w:r w:rsidRPr="00E20872">
        <w:tab/>
      </w:r>
      <w:r w:rsidRPr="00E20872">
        <w:tab/>
      </w:r>
      <w:r w:rsidRPr="00E20872">
        <w:tab/>
      </w:r>
      <w:r w:rsidRPr="00E20872">
        <w:tab/>
      </w:r>
      <w:r w:rsidRPr="00E20872">
        <w:tab/>
      </w:r>
      <w:r w:rsidRPr="00E20872">
        <w:tab/>
        <w:t xml:space="preserve"> </w:t>
      </w:r>
      <w:r w:rsidR="006B4D69">
        <w:t xml:space="preserve"> </w:t>
      </w:r>
      <w:r w:rsidRPr="00E20872">
        <w:tab/>
      </w:r>
      <w:r w:rsidR="000721BF">
        <w:t xml:space="preserve">  </w:t>
      </w:r>
      <w:r w:rsidRPr="00E20872">
        <w:t xml:space="preserve">          </w:t>
      </w:r>
      <w:r w:rsidR="000721BF">
        <w:t>51</w:t>
      </w:r>
      <w:r>
        <w:t>,</w:t>
      </w:r>
      <w:r w:rsidR="000721BF">
        <w:t>0</w:t>
      </w:r>
    </w:p>
    <w:p w:rsidR="00ED231D" w:rsidRPr="00E20872" w:rsidRDefault="00ED231D" w:rsidP="00B47E3F">
      <w:pPr>
        <w:numPr>
          <w:ilvl w:val="0"/>
          <w:numId w:val="9"/>
        </w:numPr>
        <w:tabs>
          <w:tab w:val="left" w:pos="0"/>
          <w:tab w:val="left" w:pos="284"/>
        </w:tabs>
        <w:spacing w:after="0" w:line="240" w:lineRule="auto"/>
        <w:ind w:left="0" w:firstLine="0"/>
        <w:jc w:val="both"/>
      </w:pPr>
      <w:r w:rsidRPr="00E20872">
        <w:t>prihodi od casino igara</w:t>
      </w:r>
      <w:r w:rsidRPr="00E20872">
        <w:tab/>
      </w:r>
      <w:r w:rsidRPr="00E20872">
        <w:tab/>
      </w:r>
      <w:r w:rsidRPr="00E20872">
        <w:tab/>
      </w:r>
      <w:r w:rsidRPr="00E20872">
        <w:tab/>
      </w:r>
      <w:r w:rsidRPr="00E20872">
        <w:tab/>
      </w:r>
      <w:r w:rsidRPr="00E20872">
        <w:tab/>
      </w:r>
      <w:r w:rsidRPr="00E20872">
        <w:tab/>
      </w:r>
      <w:r w:rsidRPr="00E20872">
        <w:tab/>
        <w:t xml:space="preserve">  </w:t>
      </w:r>
      <w:r w:rsidRPr="00E20872">
        <w:tab/>
        <w:t xml:space="preserve">    </w:t>
      </w:r>
      <w:r w:rsidR="000721BF">
        <w:t xml:space="preserve">  </w:t>
      </w:r>
      <w:r w:rsidRPr="00E20872">
        <w:t xml:space="preserve">    </w:t>
      </w:r>
      <w:r w:rsidR="000721BF">
        <w:t>108</w:t>
      </w:r>
      <w:r>
        <w:t>,</w:t>
      </w:r>
      <w:r w:rsidR="000721BF">
        <w:t>1</w:t>
      </w:r>
    </w:p>
    <w:p w:rsidR="00ED231D" w:rsidRPr="00CE1088" w:rsidRDefault="00ED231D" w:rsidP="00ED231D">
      <w:pPr>
        <w:tabs>
          <w:tab w:val="left" w:pos="0"/>
          <w:tab w:val="left" w:pos="284"/>
        </w:tabs>
        <w:jc w:val="both"/>
      </w:pPr>
    </w:p>
    <w:p w:rsidR="00ED231D" w:rsidRPr="007C4B28" w:rsidRDefault="00ED231D" w:rsidP="00ED231D">
      <w:pPr>
        <w:tabs>
          <w:tab w:val="left" w:pos="0"/>
          <w:tab w:val="left" w:pos="284"/>
        </w:tabs>
        <w:jc w:val="both"/>
      </w:pPr>
      <w:r w:rsidRPr="007C4B28">
        <w:t xml:space="preserve">Kod lutrijskih igara planiran je rast prihoda za </w:t>
      </w:r>
      <w:r w:rsidR="0001108D">
        <w:t>2,77</w:t>
      </w:r>
      <w:r>
        <w:t>%</w:t>
      </w:r>
      <w:r w:rsidRPr="007C4B28">
        <w:t xml:space="preserve"> u odnosu na procjenu za 201</w:t>
      </w:r>
      <w:r w:rsidR="0001108D">
        <w:t>8</w:t>
      </w:r>
      <w:r w:rsidRPr="007C4B28">
        <w:t>. godinu</w:t>
      </w:r>
      <w:r>
        <w:t>. U navedenoj grupi igara</w:t>
      </w:r>
      <w:r w:rsidRPr="007C4B28">
        <w:t xml:space="preserve"> planiran je </w:t>
      </w:r>
      <w:r>
        <w:t xml:space="preserve">rast </w:t>
      </w:r>
      <w:r w:rsidRPr="006D4874">
        <w:t xml:space="preserve">kod igre Loto 7/39 za </w:t>
      </w:r>
      <w:r w:rsidR="0001108D">
        <w:t>7,6</w:t>
      </w:r>
      <w:r w:rsidRPr="006D4874">
        <w:t xml:space="preserve"> mi</w:t>
      </w:r>
      <w:r>
        <w:t>l</w:t>
      </w:r>
      <w:r w:rsidRPr="006D4874">
        <w:t xml:space="preserve">. </w:t>
      </w:r>
      <w:r>
        <w:t>k</w:t>
      </w:r>
      <w:r w:rsidRPr="006D4874">
        <w:t xml:space="preserve">n </w:t>
      </w:r>
      <w:r w:rsidRPr="00402767">
        <w:t xml:space="preserve">ili </w:t>
      </w:r>
      <w:r w:rsidR="00402767" w:rsidRPr="00402767">
        <w:t>9</w:t>
      </w:r>
      <w:r w:rsidRPr="00402767">
        <w:t>,</w:t>
      </w:r>
      <w:r w:rsidR="00402767">
        <w:t>36</w:t>
      </w:r>
      <w:r w:rsidRPr="00402767">
        <w:t xml:space="preserve">%, Loto 6/45 za </w:t>
      </w:r>
      <w:r w:rsidR="0001108D" w:rsidRPr="00402767">
        <w:t>0</w:t>
      </w:r>
      <w:r w:rsidRPr="00402767">
        <w:t>,</w:t>
      </w:r>
      <w:r w:rsidR="0001108D" w:rsidRPr="00402767">
        <w:t xml:space="preserve">8 </w:t>
      </w:r>
      <w:r w:rsidRPr="00402767">
        <w:t xml:space="preserve">mil. kn ili </w:t>
      </w:r>
      <w:r w:rsidR="00402767" w:rsidRPr="00402767">
        <w:t>4</w:t>
      </w:r>
      <w:r w:rsidRPr="00402767">
        <w:t>%,</w:t>
      </w:r>
      <w:r>
        <w:t xml:space="preserve"> </w:t>
      </w:r>
      <w:r w:rsidRPr="006D4874">
        <w:t>Ekspres lutrije za 0,</w:t>
      </w:r>
      <w:r w:rsidR="0001108D">
        <w:t>8</w:t>
      </w:r>
      <w:r w:rsidRPr="006D4874">
        <w:t xml:space="preserve"> mil. </w:t>
      </w:r>
      <w:r w:rsidRPr="00402767">
        <w:t xml:space="preserve">kn ili </w:t>
      </w:r>
      <w:r w:rsidR="00402767" w:rsidRPr="00402767">
        <w:t>7</w:t>
      </w:r>
      <w:r w:rsidRPr="00402767">
        <w:t>,0%,</w:t>
      </w:r>
      <w:r w:rsidRPr="006D4874">
        <w:t xml:space="preserve"> </w:t>
      </w:r>
      <w:r w:rsidR="0001108D">
        <w:t>Instant lutrija za 4</w:t>
      </w:r>
      <w:r w:rsidRPr="006D4874">
        <w:t>,</w:t>
      </w:r>
      <w:r w:rsidR="0001108D">
        <w:t>57</w:t>
      </w:r>
      <w:r w:rsidRPr="006D4874">
        <w:t xml:space="preserve"> mil. kn </w:t>
      </w:r>
      <w:r w:rsidRPr="00402767">
        <w:t xml:space="preserve">ili </w:t>
      </w:r>
      <w:r w:rsidR="00402767" w:rsidRPr="00402767">
        <w:t>20</w:t>
      </w:r>
      <w:r w:rsidRPr="00402767">
        <w:t>,</w:t>
      </w:r>
      <w:r w:rsidR="00402767" w:rsidRPr="00402767">
        <w:t>7</w:t>
      </w:r>
      <w:r w:rsidRPr="006D4874">
        <w:t>%</w:t>
      </w:r>
      <w:r>
        <w:t>,</w:t>
      </w:r>
      <w:r w:rsidRPr="006D4874">
        <w:t xml:space="preserve"> </w:t>
      </w:r>
      <w:r w:rsidRPr="00CC09BB">
        <w:t>zatim za novu Brzu igru planira se pr</w:t>
      </w:r>
      <w:r w:rsidR="0001108D">
        <w:t>ihod</w:t>
      </w:r>
      <w:r w:rsidRPr="00CC09BB">
        <w:t xml:space="preserve"> od </w:t>
      </w:r>
      <w:r w:rsidR="0001108D">
        <w:t>14</w:t>
      </w:r>
      <w:r w:rsidRPr="00CC09BB">
        <w:t>,</w:t>
      </w:r>
      <w:r w:rsidR="0001108D">
        <w:t>0</w:t>
      </w:r>
      <w:r w:rsidRPr="00CC09BB">
        <w:t xml:space="preserve"> mil. kn, dok se kod ostalih lutrijskih igara predviđa pad prihoda.</w:t>
      </w:r>
    </w:p>
    <w:p w:rsidR="00ED231D" w:rsidRPr="00AC4FF6" w:rsidRDefault="00ED231D" w:rsidP="00ED231D">
      <w:pPr>
        <w:tabs>
          <w:tab w:val="left" w:pos="0"/>
          <w:tab w:val="left" w:pos="284"/>
        </w:tabs>
        <w:jc w:val="both"/>
      </w:pPr>
      <w:r w:rsidRPr="00AC4FF6">
        <w:t>Kod igre klađenja planiran je rast prihoda za 201</w:t>
      </w:r>
      <w:r w:rsidR="0001108D">
        <w:t>9</w:t>
      </w:r>
      <w:r w:rsidRPr="00AC4FF6">
        <w:t>. godinu u odnosu na procjen</w:t>
      </w:r>
      <w:r w:rsidR="00402767">
        <w:t>U</w:t>
      </w:r>
      <w:r w:rsidRPr="00AC4FF6">
        <w:t xml:space="preserve"> za 201</w:t>
      </w:r>
      <w:r w:rsidR="0001108D">
        <w:t>8</w:t>
      </w:r>
      <w:r w:rsidRPr="00AC4FF6">
        <w:t xml:space="preserve">. godinu za </w:t>
      </w:r>
      <w:r w:rsidR="0001108D">
        <w:t>0</w:t>
      </w:r>
      <w:r>
        <w:t>,</w:t>
      </w:r>
      <w:r w:rsidR="0001108D">
        <w:t xml:space="preserve">9%. Minimalno planiran rast uzrokovan je iznimno dobrim rezultatom u </w:t>
      </w:r>
      <w:r w:rsidR="00672018">
        <w:t>2018.godini, prvenstveno zbog igara i plasmana hrvatske nogometne reprezentacije na Svjetskom prvenstvu u nogometu.</w:t>
      </w:r>
    </w:p>
    <w:p w:rsidR="00ED231D" w:rsidRPr="009F35B2" w:rsidRDefault="00ED231D" w:rsidP="00ED231D">
      <w:pPr>
        <w:tabs>
          <w:tab w:val="left" w:pos="0"/>
          <w:tab w:val="left" w:pos="284"/>
        </w:tabs>
        <w:jc w:val="both"/>
      </w:pPr>
      <w:r w:rsidRPr="009F35B2">
        <w:t xml:space="preserve">U segmentu priređivanja igara na sreću na automatima i igara u casinima planiran je rast prihoda od </w:t>
      </w:r>
      <w:r w:rsidR="00672018">
        <w:t>21</w:t>
      </w:r>
      <w:r>
        <w:t>,</w:t>
      </w:r>
      <w:r w:rsidR="00672018">
        <w:t>12</w:t>
      </w:r>
      <w:r w:rsidRPr="009F35B2">
        <w:t>% što proizlazi iz daljnjeg instaliranja automata na prodajna mjesta</w:t>
      </w:r>
      <w:r w:rsidR="00672018">
        <w:t>, otvaranja 4</w:t>
      </w:r>
      <w:r>
        <w:t xml:space="preserve"> nova automat kluba</w:t>
      </w:r>
      <w:r w:rsidRPr="009F35B2">
        <w:t xml:space="preserve"> te niza aktivnosti u okviru strateških inicijativa koji će rezultirati rastom prihoda Internet casina.</w:t>
      </w:r>
    </w:p>
    <w:p w:rsidR="00ED231D" w:rsidRPr="00CE1088" w:rsidRDefault="00ED231D" w:rsidP="00ED231D">
      <w:pPr>
        <w:tabs>
          <w:tab w:val="left" w:pos="0"/>
          <w:tab w:val="left" w:pos="284"/>
        </w:tabs>
        <w:jc w:val="both"/>
      </w:pPr>
      <w:r w:rsidRPr="00CE1088">
        <w:t xml:space="preserve">U Tablici </w:t>
      </w:r>
      <w:r w:rsidR="00FC7F81">
        <w:t>4</w:t>
      </w:r>
      <w:r w:rsidRPr="00CE1088">
        <w:t>. prikazan je pregled ukupnih prihoda, rashoda i dobiti.</w:t>
      </w:r>
    </w:p>
    <w:p w:rsidR="00ED231D" w:rsidRPr="00134BE9" w:rsidRDefault="00ED231D" w:rsidP="00ED231D">
      <w:pPr>
        <w:tabs>
          <w:tab w:val="left" w:pos="0"/>
          <w:tab w:val="left" w:pos="284"/>
        </w:tabs>
        <w:jc w:val="both"/>
      </w:pPr>
      <w:r w:rsidRPr="00134BE9">
        <w:t>Ukupno planirani rashodi Hrvatske Lutrije d.o.o. za 201</w:t>
      </w:r>
      <w:r w:rsidR="00672018">
        <w:t>9</w:t>
      </w:r>
      <w:r w:rsidRPr="00134BE9">
        <w:t xml:space="preserve">. godinu iznose </w:t>
      </w:r>
      <w:r>
        <w:t>5</w:t>
      </w:r>
      <w:r w:rsidR="00672018">
        <w:t>70</w:t>
      </w:r>
      <w:r>
        <w:t>,</w:t>
      </w:r>
      <w:r w:rsidR="00672018">
        <w:t>3</w:t>
      </w:r>
      <w:r w:rsidRPr="00134BE9">
        <w:t xml:space="preserve"> mil</w:t>
      </w:r>
      <w:r>
        <w:t>ijuna</w:t>
      </w:r>
      <w:r w:rsidR="000F5393">
        <w:t xml:space="preserve"> kn ili 89</w:t>
      </w:r>
      <w:r w:rsidRPr="00134BE9">
        <w:t>,</w:t>
      </w:r>
      <w:r>
        <w:t>8</w:t>
      </w:r>
      <w:r w:rsidR="000F5393">
        <w:t>9</w:t>
      </w:r>
      <w:r w:rsidRPr="00134BE9">
        <w:t xml:space="preserve">% ukupnih prihoda. Rashodi su veći za </w:t>
      </w:r>
      <w:r w:rsidR="000F5393">
        <w:t>6</w:t>
      </w:r>
      <w:r>
        <w:t>,</w:t>
      </w:r>
      <w:r w:rsidR="000F5393">
        <w:t>82</w:t>
      </w:r>
      <w:r w:rsidRPr="00134BE9">
        <w:t>% od procijenjenih za 201</w:t>
      </w:r>
      <w:r w:rsidR="000F5393">
        <w:t>8</w:t>
      </w:r>
      <w:r w:rsidRPr="00134BE9">
        <w:t xml:space="preserve">. godinu. U Tablici </w:t>
      </w:r>
      <w:r w:rsidR="00FC7F81">
        <w:t>5</w:t>
      </w:r>
      <w:r w:rsidRPr="00134BE9">
        <w:rPr>
          <w:b/>
        </w:rPr>
        <w:t>.</w:t>
      </w:r>
      <w:r w:rsidRPr="00134BE9">
        <w:t xml:space="preserve"> prikazan je detaljan plan rashoda.</w:t>
      </w:r>
    </w:p>
    <w:p w:rsidR="00ED231D" w:rsidRPr="00134BE9" w:rsidRDefault="00ED231D" w:rsidP="00ED231D">
      <w:pPr>
        <w:tabs>
          <w:tab w:val="left" w:pos="0"/>
          <w:tab w:val="left" w:pos="284"/>
        </w:tabs>
        <w:jc w:val="both"/>
      </w:pPr>
      <w:r w:rsidRPr="00134BE9">
        <w:t xml:space="preserve">Nakon pokrića ukupnih rashoda planirana dobit </w:t>
      </w:r>
      <w:r w:rsidR="000F5393">
        <w:t>Hrvatske Lutrije d.o.o.</w:t>
      </w:r>
      <w:r w:rsidRPr="00134BE9">
        <w:t xml:space="preserve"> prije oporezivanja iznosi </w:t>
      </w:r>
      <w:r w:rsidR="000F5393">
        <w:t>64</w:t>
      </w:r>
      <w:r>
        <w:t>,</w:t>
      </w:r>
      <w:r w:rsidR="000F5393">
        <w:t>1</w:t>
      </w:r>
      <w:r w:rsidRPr="00134BE9">
        <w:t xml:space="preserve"> mil</w:t>
      </w:r>
      <w:r>
        <w:t>ijuna</w:t>
      </w:r>
      <w:r w:rsidRPr="00134BE9">
        <w:t xml:space="preserve"> kn.</w:t>
      </w:r>
    </w:p>
    <w:p w:rsidR="00ED231D" w:rsidRDefault="00ED231D" w:rsidP="00ED231D">
      <w:pPr>
        <w:tabs>
          <w:tab w:val="left" w:pos="0"/>
          <w:tab w:val="left" w:pos="284"/>
        </w:tabs>
        <w:jc w:val="both"/>
      </w:pPr>
      <w:r w:rsidRPr="00134BE9">
        <w:t>Dobit Hrvatske Lutrije d.o.o. nakon oporezivanja za 201</w:t>
      </w:r>
      <w:r w:rsidR="00CC25E4">
        <w:t>9</w:t>
      </w:r>
      <w:r w:rsidRPr="00134BE9">
        <w:t xml:space="preserve">. godinu planirana je u iznosu od </w:t>
      </w:r>
      <w:r w:rsidR="000F5393">
        <w:t>52</w:t>
      </w:r>
      <w:r>
        <w:t>,</w:t>
      </w:r>
      <w:r w:rsidR="000F5393">
        <w:t>6</w:t>
      </w:r>
      <w:r w:rsidRPr="00134BE9">
        <w:t xml:space="preserve"> mil</w:t>
      </w:r>
      <w:r>
        <w:t>ijuna</w:t>
      </w:r>
      <w:r w:rsidRPr="00134BE9">
        <w:t xml:space="preserve"> kn</w:t>
      </w:r>
      <w:r>
        <w:t>.</w:t>
      </w:r>
    </w:p>
    <w:p w:rsidR="00ED231D" w:rsidRDefault="000F5393" w:rsidP="00ED231D">
      <w:pPr>
        <w:tabs>
          <w:tab w:val="left" w:pos="0"/>
          <w:tab w:val="left" w:pos="284"/>
        </w:tabs>
        <w:jc w:val="both"/>
      </w:pPr>
      <w:r>
        <w:lastRenderedPageBreak/>
        <w:t>Aktivnosti planirane u 2019</w:t>
      </w:r>
      <w:r w:rsidR="00ED231D">
        <w:t>. godini koje imaju za cilj realizaciju operativnih i strateških ciljeva, imati će za rezultat generiranje novih, značajnih troškova u 201</w:t>
      </w:r>
      <w:r>
        <w:t>9</w:t>
      </w:r>
      <w:r w:rsidR="00ED231D">
        <w:t>. godini te je u skladu s time planiran i financijski rezultat poslovanja. Time će se istovremeno stvoriti uvjeti za realizaciju navedenih strateških ciljeva i većih pozitivnih financijskih učinaka u narednom razdoblju.</w:t>
      </w:r>
    </w:p>
    <w:p w:rsidR="00ED231D" w:rsidRDefault="00ED231D" w:rsidP="00E600B1">
      <w:pPr>
        <w:jc w:val="both"/>
      </w:pPr>
    </w:p>
    <w:p w:rsidR="00D05438" w:rsidRDefault="00D05438" w:rsidP="00E600B1">
      <w:pPr>
        <w:jc w:val="both"/>
      </w:pPr>
    </w:p>
    <w:p w:rsidR="00D05438" w:rsidRDefault="00D05438" w:rsidP="00E600B1">
      <w:pPr>
        <w:jc w:val="both"/>
      </w:pPr>
    </w:p>
    <w:p w:rsidR="00D05438" w:rsidRDefault="00D05438" w:rsidP="00E600B1">
      <w:pPr>
        <w:jc w:val="both"/>
      </w:pPr>
    </w:p>
    <w:p w:rsidR="006B4D69" w:rsidRDefault="006B4D69" w:rsidP="00E600B1">
      <w:pPr>
        <w:jc w:val="both"/>
      </w:pPr>
    </w:p>
    <w:p w:rsidR="006B4D69" w:rsidRDefault="006B4D69" w:rsidP="00E600B1">
      <w:pPr>
        <w:jc w:val="both"/>
      </w:pPr>
    </w:p>
    <w:p w:rsidR="006B4D69" w:rsidRDefault="006B4D69" w:rsidP="00E600B1">
      <w:pPr>
        <w:jc w:val="both"/>
      </w:pPr>
    </w:p>
    <w:p w:rsidR="006B4D69" w:rsidRDefault="006B4D69" w:rsidP="00E600B1">
      <w:pPr>
        <w:jc w:val="both"/>
      </w:pPr>
    </w:p>
    <w:p w:rsidR="006B4D69" w:rsidRDefault="006B4D69" w:rsidP="00E600B1">
      <w:pPr>
        <w:jc w:val="both"/>
      </w:pPr>
    </w:p>
    <w:p w:rsidR="006B4D69" w:rsidRDefault="006B4D69" w:rsidP="00E600B1">
      <w:pPr>
        <w:jc w:val="both"/>
      </w:pPr>
    </w:p>
    <w:p w:rsidR="006B4D69" w:rsidRDefault="006B4D69" w:rsidP="00E600B1">
      <w:pPr>
        <w:jc w:val="both"/>
      </w:pPr>
    </w:p>
    <w:p w:rsidR="006B4D69" w:rsidRDefault="006B4D69" w:rsidP="00E600B1">
      <w:pPr>
        <w:jc w:val="both"/>
      </w:pPr>
    </w:p>
    <w:p w:rsidR="006E3EE7" w:rsidRDefault="006E3EE7" w:rsidP="00E600B1">
      <w:pPr>
        <w:jc w:val="both"/>
      </w:pPr>
    </w:p>
    <w:p w:rsidR="006E3EE7" w:rsidRDefault="006E3EE7" w:rsidP="00E600B1">
      <w:pPr>
        <w:jc w:val="both"/>
      </w:pPr>
    </w:p>
    <w:p w:rsidR="006B4D69" w:rsidRDefault="006B4D69" w:rsidP="00E600B1">
      <w:pPr>
        <w:jc w:val="both"/>
      </w:pPr>
    </w:p>
    <w:p w:rsidR="0025454E" w:rsidRDefault="0025454E" w:rsidP="0025454E">
      <w:pPr>
        <w:rPr>
          <w:b/>
        </w:rPr>
      </w:pPr>
      <w:r w:rsidRPr="00165579">
        <w:rPr>
          <w:b/>
        </w:rPr>
        <w:t xml:space="preserve">Tablica </w:t>
      </w:r>
      <w:r w:rsidR="00FC7F81">
        <w:rPr>
          <w:b/>
        </w:rPr>
        <w:t>4</w:t>
      </w:r>
      <w:r w:rsidRPr="00165579">
        <w:rPr>
          <w:b/>
        </w:rPr>
        <w:t>: PLAN UKUPNIH PRIHODA, RASHODA I DOBITI ZA 201</w:t>
      </w:r>
      <w:r>
        <w:rPr>
          <w:b/>
        </w:rPr>
        <w:t>9</w:t>
      </w:r>
      <w:r w:rsidRPr="00165579">
        <w:rPr>
          <w:b/>
        </w:rPr>
        <w:t>. GODINU</w:t>
      </w:r>
    </w:p>
    <w:p w:rsidR="00634CDD" w:rsidRDefault="009C271A" w:rsidP="009A368B">
      <w:pPr>
        <w:tabs>
          <w:tab w:val="left" w:pos="142"/>
        </w:tabs>
        <w:ind w:left="142"/>
        <w:jc w:val="both"/>
      </w:pPr>
      <w:r w:rsidRPr="009C271A">
        <w:rPr>
          <w:noProof/>
        </w:rPr>
        <w:lastRenderedPageBreak/>
        <w:drawing>
          <wp:inline distT="0" distB="0" distL="0" distR="0">
            <wp:extent cx="6120765" cy="668896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765" cy="6688963"/>
                    </a:xfrm>
                    <a:prstGeom prst="rect">
                      <a:avLst/>
                    </a:prstGeom>
                    <a:noFill/>
                    <a:ln>
                      <a:noFill/>
                    </a:ln>
                  </pic:spPr>
                </pic:pic>
              </a:graphicData>
            </a:graphic>
          </wp:inline>
        </w:drawing>
      </w:r>
    </w:p>
    <w:p w:rsidR="006C0599" w:rsidRDefault="006C0599" w:rsidP="006C0599">
      <w:pPr>
        <w:rPr>
          <w:b/>
        </w:rPr>
      </w:pPr>
    </w:p>
    <w:p w:rsidR="006B4D69" w:rsidRDefault="006B4D69" w:rsidP="006C0599">
      <w:pPr>
        <w:rPr>
          <w:b/>
        </w:rPr>
      </w:pPr>
    </w:p>
    <w:p w:rsidR="006B4D69" w:rsidRDefault="006B4D69" w:rsidP="006C0599">
      <w:pPr>
        <w:rPr>
          <w:b/>
        </w:rPr>
      </w:pPr>
    </w:p>
    <w:p w:rsidR="006B4D69" w:rsidRDefault="006B4D69" w:rsidP="006C0599">
      <w:pPr>
        <w:rPr>
          <w:b/>
        </w:rPr>
      </w:pPr>
    </w:p>
    <w:p w:rsidR="006B4D69" w:rsidRDefault="006B4D69" w:rsidP="006C0599">
      <w:pPr>
        <w:rPr>
          <w:b/>
        </w:rPr>
      </w:pPr>
    </w:p>
    <w:p w:rsidR="006B4D69" w:rsidRDefault="006B4D69" w:rsidP="006C0599">
      <w:pPr>
        <w:rPr>
          <w:b/>
        </w:rPr>
      </w:pPr>
    </w:p>
    <w:p w:rsidR="006B4D69" w:rsidRDefault="006B4D69" w:rsidP="006C0599">
      <w:pPr>
        <w:rPr>
          <w:b/>
        </w:rPr>
      </w:pPr>
    </w:p>
    <w:p w:rsidR="006C0599" w:rsidRPr="00CE1088" w:rsidRDefault="00FC7F81" w:rsidP="006C0599">
      <w:pPr>
        <w:rPr>
          <w:b/>
        </w:rPr>
      </w:pPr>
      <w:r>
        <w:rPr>
          <w:b/>
        </w:rPr>
        <w:t>Tablica 5</w:t>
      </w:r>
      <w:r w:rsidR="006C0599" w:rsidRPr="00CE1088">
        <w:rPr>
          <w:b/>
        </w:rPr>
        <w:t>.: PLAN RASHODA</w:t>
      </w:r>
    </w:p>
    <w:p w:rsidR="006C0599" w:rsidRPr="00CE1088" w:rsidRDefault="006C0599" w:rsidP="006C0599">
      <w:pPr>
        <w:rPr>
          <w:b/>
        </w:rPr>
      </w:pPr>
    </w:p>
    <w:p w:rsidR="006C0599" w:rsidRDefault="006C0599" w:rsidP="006C0599">
      <w:pPr>
        <w:rPr>
          <w:b/>
          <w:i/>
        </w:rPr>
      </w:pPr>
      <w:r w:rsidRPr="00CE1088">
        <w:rPr>
          <w:b/>
          <w:i/>
        </w:rPr>
        <w:t>MATERIJALNI TROŠKOVI</w:t>
      </w:r>
    </w:p>
    <w:p w:rsidR="006C0599" w:rsidRDefault="00BB2CE9" w:rsidP="009A368B">
      <w:pPr>
        <w:tabs>
          <w:tab w:val="left" w:pos="142"/>
        </w:tabs>
        <w:ind w:left="142"/>
        <w:jc w:val="both"/>
      </w:pPr>
      <w:r w:rsidRPr="00BB2CE9">
        <w:rPr>
          <w:noProof/>
        </w:rPr>
        <w:lastRenderedPageBreak/>
        <w:drawing>
          <wp:inline distT="0" distB="0" distL="0" distR="0">
            <wp:extent cx="6120765" cy="552651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765" cy="5526511"/>
                    </a:xfrm>
                    <a:prstGeom prst="rect">
                      <a:avLst/>
                    </a:prstGeom>
                    <a:noFill/>
                    <a:ln>
                      <a:noFill/>
                    </a:ln>
                  </pic:spPr>
                </pic:pic>
              </a:graphicData>
            </a:graphic>
          </wp:inline>
        </w:drawing>
      </w:r>
    </w:p>
    <w:p w:rsidR="006C0599" w:rsidRPr="00CE1088" w:rsidRDefault="006C0599" w:rsidP="006C0599"/>
    <w:p w:rsidR="006C0599" w:rsidRPr="00CE1088" w:rsidRDefault="006C0599" w:rsidP="006C0599">
      <w:pPr>
        <w:rPr>
          <w:b/>
          <w:i/>
        </w:rPr>
      </w:pPr>
      <w:r w:rsidRPr="00CE1088">
        <w:rPr>
          <w:b/>
          <w:i/>
        </w:rPr>
        <w:t>REZERVIRANJA, AMORTIZACIJA I BRUTO PLAĆE</w:t>
      </w:r>
    </w:p>
    <w:p w:rsidR="006C0599" w:rsidRDefault="006C0599" w:rsidP="009A368B">
      <w:pPr>
        <w:tabs>
          <w:tab w:val="left" w:pos="142"/>
        </w:tabs>
        <w:ind w:left="142"/>
        <w:jc w:val="both"/>
      </w:pPr>
      <w:r w:rsidRPr="006C0599">
        <w:rPr>
          <w:noProof/>
        </w:rPr>
        <w:drawing>
          <wp:inline distT="0" distB="0" distL="0" distR="0">
            <wp:extent cx="6120765" cy="1263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765" cy="1263650"/>
                    </a:xfrm>
                    <a:prstGeom prst="rect">
                      <a:avLst/>
                    </a:prstGeom>
                    <a:noFill/>
                    <a:ln>
                      <a:noFill/>
                    </a:ln>
                  </pic:spPr>
                </pic:pic>
              </a:graphicData>
            </a:graphic>
          </wp:inline>
        </w:drawing>
      </w:r>
    </w:p>
    <w:p w:rsidR="002C679D" w:rsidRDefault="002C679D" w:rsidP="002C679D">
      <w:pPr>
        <w:rPr>
          <w:b/>
          <w:i/>
        </w:rPr>
      </w:pPr>
    </w:p>
    <w:p w:rsidR="006B4D69" w:rsidRDefault="006B4D69" w:rsidP="002C679D">
      <w:pPr>
        <w:rPr>
          <w:b/>
          <w:i/>
        </w:rPr>
      </w:pPr>
    </w:p>
    <w:p w:rsidR="002C679D" w:rsidRPr="009A4AFE" w:rsidRDefault="002C679D" w:rsidP="002C679D">
      <w:pPr>
        <w:rPr>
          <w:b/>
          <w:i/>
        </w:rPr>
      </w:pPr>
      <w:r w:rsidRPr="00CE1088">
        <w:rPr>
          <w:b/>
          <w:i/>
        </w:rPr>
        <w:t>NEMATERIJALNI TROŠKOVI</w:t>
      </w:r>
    </w:p>
    <w:p w:rsidR="006C0599" w:rsidRDefault="00BB2CE9" w:rsidP="009A368B">
      <w:pPr>
        <w:tabs>
          <w:tab w:val="left" w:pos="142"/>
        </w:tabs>
        <w:ind w:left="142"/>
        <w:jc w:val="both"/>
      </w:pPr>
      <w:r w:rsidRPr="00BB2CE9">
        <w:rPr>
          <w:noProof/>
        </w:rPr>
        <w:lastRenderedPageBreak/>
        <w:drawing>
          <wp:inline distT="0" distB="0" distL="0" distR="0">
            <wp:extent cx="6120765" cy="4437133"/>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765" cy="4437133"/>
                    </a:xfrm>
                    <a:prstGeom prst="rect">
                      <a:avLst/>
                    </a:prstGeom>
                    <a:noFill/>
                    <a:ln>
                      <a:noFill/>
                    </a:ln>
                  </pic:spPr>
                </pic:pic>
              </a:graphicData>
            </a:graphic>
          </wp:inline>
        </w:drawing>
      </w:r>
    </w:p>
    <w:p w:rsidR="002C679D" w:rsidRDefault="002C679D" w:rsidP="002C679D">
      <w:pPr>
        <w:rPr>
          <w:b/>
          <w:i/>
        </w:rPr>
      </w:pPr>
    </w:p>
    <w:p w:rsidR="002C679D" w:rsidRPr="002C679D" w:rsidRDefault="002C679D" w:rsidP="002C679D">
      <w:pPr>
        <w:rPr>
          <w:b/>
          <w:i/>
        </w:rPr>
      </w:pPr>
      <w:r w:rsidRPr="00CE1088">
        <w:rPr>
          <w:b/>
          <w:i/>
        </w:rPr>
        <w:t>FINANCIJSKI RASHODI</w:t>
      </w:r>
    </w:p>
    <w:p w:rsidR="002C679D" w:rsidRDefault="002C679D" w:rsidP="006B4D69">
      <w:pPr>
        <w:tabs>
          <w:tab w:val="left" w:pos="142"/>
        </w:tabs>
        <w:ind w:left="142"/>
        <w:jc w:val="both"/>
      </w:pPr>
      <w:r w:rsidRPr="002C679D">
        <w:rPr>
          <w:noProof/>
        </w:rPr>
        <w:drawing>
          <wp:inline distT="0" distB="0" distL="0" distR="0">
            <wp:extent cx="6120765" cy="12128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765" cy="1212850"/>
                    </a:xfrm>
                    <a:prstGeom prst="rect">
                      <a:avLst/>
                    </a:prstGeom>
                    <a:noFill/>
                    <a:ln>
                      <a:noFill/>
                    </a:ln>
                  </pic:spPr>
                </pic:pic>
              </a:graphicData>
            </a:graphic>
          </wp:inline>
        </w:drawing>
      </w:r>
    </w:p>
    <w:p w:rsidR="006B4D69" w:rsidRDefault="006B4D69" w:rsidP="002C679D">
      <w:pPr>
        <w:tabs>
          <w:tab w:val="left" w:pos="142"/>
        </w:tabs>
        <w:autoSpaceDE w:val="0"/>
        <w:autoSpaceDN w:val="0"/>
        <w:adjustRightInd w:val="0"/>
        <w:rPr>
          <w:b/>
          <w:i/>
        </w:rPr>
      </w:pPr>
    </w:p>
    <w:p w:rsidR="006B4D69" w:rsidRDefault="006B4D69" w:rsidP="002C679D">
      <w:pPr>
        <w:tabs>
          <w:tab w:val="left" w:pos="142"/>
        </w:tabs>
        <w:autoSpaceDE w:val="0"/>
        <w:autoSpaceDN w:val="0"/>
        <w:adjustRightInd w:val="0"/>
        <w:rPr>
          <w:b/>
          <w:i/>
        </w:rPr>
      </w:pPr>
    </w:p>
    <w:p w:rsidR="006B4D69" w:rsidRDefault="006B4D69" w:rsidP="002C679D">
      <w:pPr>
        <w:tabs>
          <w:tab w:val="left" w:pos="142"/>
        </w:tabs>
        <w:autoSpaceDE w:val="0"/>
        <w:autoSpaceDN w:val="0"/>
        <w:adjustRightInd w:val="0"/>
        <w:rPr>
          <w:b/>
          <w:i/>
        </w:rPr>
      </w:pPr>
    </w:p>
    <w:p w:rsidR="006B4D69" w:rsidRDefault="006B4D69" w:rsidP="002C679D">
      <w:pPr>
        <w:tabs>
          <w:tab w:val="left" w:pos="142"/>
        </w:tabs>
        <w:autoSpaceDE w:val="0"/>
        <w:autoSpaceDN w:val="0"/>
        <w:adjustRightInd w:val="0"/>
        <w:rPr>
          <w:b/>
          <w:i/>
        </w:rPr>
      </w:pPr>
    </w:p>
    <w:p w:rsidR="006B4D69" w:rsidRDefault="006B4D69" w:rsidP="002C679D">
      <w:pPr>
        <w:tabs>
          <w:tab w:val="left" w:pos="142"/>
        </w:tabs>
        <w:autoSpaceDE w:val="0"/>
        <w:autoSpaceDN w:val="0"/>
        <w:adjustRightInd w:val="0"/>
        <w:rPr>
          <w:b/>
          <w:i/>
        </w:rPr>
      </w:pPr>
    </w:p>
    <w:p w:rsidR="006B4D69" w:rsidRDefault="006B4D69" w:rsidP="002C679D">
      <w:pPr>
        <w:tabs>
          <w:tab w:val="left" w:pos="142"/>
        </w:tabs>
        <w:autoSpaceDE w:val="0"/>
        <w:autoSpaceDN w:val="0"/>
        <w:adjustRightInd w:val="0"/>
        <w:rPr>
          <w:b/>
          <w:i/>
        </w:rPr>
      </w:pPr>
    </w:p>
    <w:p w:rsidR="006B4D69" w:rsidRDefault="006B4D69" w:rsidP="002C679D">
      <w:pPr>
        <w:tabs>
          <w:tab w:val="left" w:pos="142"/>
        </w:tabs>
        <w:autoSpaceDE w:val="0"/>
        <w:autoSpaceDN w:val="0"/>
        <w:adjustRightInd w:val="0"/>
        <w:rPr>
          <w:b/>
          <w:i/>
        </w:rPr>
      </w:pPr>
    </w:p>
    <w:p w:rsidR="006B4D69" w:rsidRDefault="006B4D69" w:rsidP="002C679D">
      <w:pPr>
        <w:tabs>
          <w:tab w:val="left" w:pos="142"/>
        </w:tabs>
        <w:autoSpaceDE w:val="0"/>
        <w:autoSpaceDN w:val="0"/>
        <w:adjustRightInd w:val="0"/>
        <w:rPr>
          <w:b/>
          <w:i/>
        </w:rPr>
      </w:pPr>
    </w:p>
    <w:p w:rsidR="002C679D" w:rsidRPr="00CE1088" w:rsidRDefault="002C679D" w:rsidP="002C679D">
      <w:pPr>
        <w:tabs>
          <w:tab w:val="left" w:pos="142"/>
        </w:tabs>
        <w:autoSpaceDE w:val="0"/>
        <w:autoSpaceDN w:val="0"/>
        <w:adjustRightInd w:val="0"/>
        <w:rPr>
          <w:b/>
        </w:rPr>
      </w:pPr>
      <w:r w:rsidRPr="00730B66">
        <w:rPr>
          <w:b/>
          <w:i/>
        </w:rPr>
        <w:t>OSTALI POSLOVNI RASHODI</w:t>
      </w:r>
    </w:p>
    <w:p w:rsidR="002C679D" w:rsidRDefault="00BB2CE9" w:rsidP="009A368B">
      <w:pPr>
        <w:tabs>
          <w:tab w:val="left" w:pos="142"/>
        </w:tabs>
        <w:ind w:left="142"/>
        <w:jc w:val="both"/>
      </w:pPr>
      <w:r w:rsidRPr="00BB2CE9">
        <w:rPr>
          <w:noProof/>
        </w:rPr>
        <w:lastRenderedPageBreak/>
        <w:drawing>
          <wp:inline distT="0" distB="0" distL="0" distR="0">
            <wp:extent cx="6120765" cy="1591357"/>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765" cy="1591357"/>
                    </a:xfrm>
                    <a:prstGeom prst="rect">
                      <a:avLst/>
                    </a:prstGeom>
                    <a:noFill/>
                    <a:ln>
                      <a:noFill/>
                    </a:ln>
                  </pic:spPr>
                </pic:pic>
              </a:graphicData>
            </a:graphic>
          </wp:inline>
        </w:drawing>
      </w:r>
    </w:p>
    <w:p w:rsidR="006B4D69" w:rsidRDefault="006B4D69" w:rsidP="00D05438">
      <w:pPr>
        <w:tabs>
          <w:tab w:val="left" w:pos="142"/>
        </w:tabs>
        <w:autoSpaceDE w:val="0"/>
        <w:autoSpaceDN w:val="0"/>
        <w:adjustRightInd w:val="0"/>
      </w:pPr>
    </w:p>
    <w:p w:rsidR="00D05438" w:rsidRPr="007B5CB8" w:rsidRDefault="00D05438" w:rsidP="00D05438">
      <w:pPr>
        <w:tabs>
          <w:tab w:val="left" w:pos="142"/>
        </w:tabs>
        <w:autoSpaceDE w:val="0"/>
        <w:autoSpaceDN w:val="0"/>
        <w:adjustRightInd w:val="0"/>
      </w:pPr>
      <w:r w:rsidRPr="007B5CB8">
        <w:t>Kod pojedinih grupa troškova prisutno je povećanje u planu za 201</w:t>
      </w:r>
      <w:r>
        <w:t>9</w:t>
      </w:r>
      <w:r w:rsidRPr="007B5CB8">
        <w:t>. godinu:</w:t>
      </w:r>
    </w:p>
    <w:p w:rsidR="00D05438" w:rsidRPr="00D36A25" w:rsidRDefault="00D05438" w:rsidP="00D05438">
      <w:pPr>
        <w:pStyle w:val="ListParagraph"/>
        <w:numPr>
          <w:ilvl w:val="0"/>
          <w:numId w:val="28"/>
        </w:numPr>
        <w:tabs>
          <w:tab w:val="left" w:pos="-709"/>
          <w:tab w:val="left" w:pos="142"/>
        </w:tabs>
        <w:spacing w:after="0" w:line="240" w:lineRule="auto"/>
        <w:jc w:val="both"/>
      </w:pPr>
      <w:r w:rsidRPr="00D36A25">
        <w:t xml:space="preserve">U okviru </w:t>
      </w:r>
      <w:r w:rsidRPr="00DD30CD">
        <w:rPr>
          <w:b/>
        </w:rPr>
        <w:t>utroška materijala</w:t>
      </w:r>
      <w:r w:rsidRPr="00D36A25">
        <w:t xml:space="preserve"> (planirano </w:t>
      </w:r>
      <w:r w:rsidR="00F40EA7">
        <w:t>5</w:t>
      </w:r>
      <w:r>
        <w:t>,</w:t>
      </w:r>
      <w:r w:rsidR="00F40EA7">
        <w:t>9 mil.</w:t>
      </w:r>
      <w:r w:rsidRPr="00D36A25">
        <w:t xml:space="preserve">kn) predviđena je nabavka novih </w:t>
      </w:r>
      <w:r w:rsidR="0019779A" w:rsidRPr="0019779A">
        <w:t>dispenzer</w:t>
      </w:r>
      <w:r w:rsidR="00C751D1">
        <w:t>a</w:t>
      </w:r>
      <w:r w:rsidR="0019779A" w:rsidRPr="0019779A">
        <w:t xml:space="preserve"> za srećke i listiće, modularn</w:t>
      </w:r>
      <w:r w:rsidR="00C751D1">
        <w:t>ih</w:t>
      </w:r>
      <w:r w:rsidR="0019779A" w:rsidRPr="0019779A">
        <w:t xml:space="preserve"> stal</w:t>
      </w:r>
      <w:r w:rsidR="00C751D1">
        <w:t>aka</w:t>
      </w:r>
      <w:r w:rsidR="0019779A" w:rsidRPr="0019779A">
        <w:t xml:space="preserve"> za srećke, te drugi materijal za p</w:t>
      </w:r>
      <w:r w:rsidR="00C751D1">
        <w:t>rodajna mjesta, kao i</w:t>
      </w:r>
      <w:r w:rsidRPr="00D36A25">
        <w:t xml:space="preserve"> nabava službene odjeće za sve prodavače u vrijednosti od </w:t>
      </w:r>
      <w:r w:rsidR="0019779A">
        <w:t>0</w:t>
      </w:r>
      <w:r w:rsidRPr="00D36A25">
        <w:t>,</w:t>
      </w:r>
      <w:r w:rsidR="008929AE">
        <w:t>5</w:t>
      </w:r>
      <w:r w:rsidRPr="00D36A25">
        <w:t xml:space="preserve"> mil.</w:t>
      </w:r>
      <w:r w:rsidR="00016F4A">
        <w:t>kn.</w:t>
      </w:r>
      <w:r w:rsidRPr="00D36A25">
        <w:t xml:space="preserve"> </w:t>
      </w:r>
      <w:r w:rsidR="00C751D1">
        <w:t>Uvođenjem usluge ispisnog rješenja u 2019.godini očekuju se uštede na tonerima i fotokopirnom papiru, ali je tijekom 2018.godine došlo do povećanj</w:t>
      </w:r>
      <w:r w:rsidR="00016F4A">
        <w:t>a cijene termo rola od 33% te</w:t>
      </w:r>
      <w:r w:rsidR="00C751D1">
        <w:t xml:space="preserve"> stoga ukupno planirani iznos utroška materijala </w:t>
      </w:r>
      <w:r w:rsidR="00016F4A">
        <w:t>nije zamjetno niži od</w:t>
      </w:r>
      <w:r w:rsidR="00C751D1">
        <w:t xml:space="preserve"> procjene za 2018.godinu.</w:t>
      </w:r>
    </w:p>
    <w:p w:rsidR="00D05438" w:rsidRDefault="00D05438" w:rsidP="00D05438">
      <w:pPr>
        <w:pStyle w:val="ListParagraph"/>
        <w:tabs>
          <w:tab w:val="left" w:pos="-709"/>
          <w:tab w:val="left" w:pos="142"/>
        </w:tabs>
        <w:spacing w:after="0" w:line="240" w:lineRule="auto"/>
        <w:jc w:val="both"/>
      </w:pPr>
    </w:p>
    <w:p w:rsidR="00D05438" w:rsidRPr="00200456" w:rsidRDefault="00D05438" w:rsidP="00D05438">
      <w:pPr>
        <w:pStyle w:val="ListParagraph"/>
        <w:numPr>
          <w:ilvl w:val="0"/>
          <w:numId w:val="28"/>
        </w:numPr>
        <w:tabs>
          <w:tab w:val="left" w:pos="-709"/>
          <w:tab w:val="left" w:pos="142"/>
        </w:tabs>
        <w:spacing w:after="0" w:line="240" w:lineRule="auto"/>
        <w:jc w:val="both"/>
      </w:pPr>
      <w:r w:rsidRPr="00200456">
        <w:t xml:space="preserve">U okviru </w:t>
      </w:r>
      <w:r w:rsidR="00C751D1" w:rsidRPr="00C751D1">
        <w:t>planiranog</w:t>
      </w:r>
      <w:r w:rsidR="00C751D1">
        <w:rPr>
          <w:b/>
        </w:rPr>
        <w:t xml:space="preserve"> troška energije</w:t>
      </w:r>
      <w:r w:rsidRPr="00200456">
        <w:t xml:space="preserve"> (planirano </w:t>
      </w:r>
      <w:r w:rsidR="00C751D1">
        <w:t>6</w:t>
      </w:r>
      <w:r w:rsidRPr="00200456">
        <w:t>,</w:t>
      </w:r>
      <w:r w:rsidR="00016F4A">
        <w:t>7 mil.</w:t>
      </w:r>
      <w:r w:rsidRPr="00200456">
        <w:t>kn), od ukupnog povećanja koje iznosi 1,</w:t>
      </w:r>
      <w:r w:rsidR="00016F4A">
        <w:t>2</w:t>
      </w:r>
      <w:r w:rsidRPr="00200456">
        <w:t xml:space="preserve"> mil.kn, najveći dio odnosi </w:t>
      </w:r>
      <w:r>
        <w:t xml:space="preserve">se </w:t>
      </w:r>
      <w:r w:rsidRPr="00200456">
        <w:t xml:space="preserve">na troškove vezane za otvaranje </w:t>
      </w:r>
      <w:r w:rsidR="00C751D1">
        <w:t>četiri</w:t>
      </w:r>
      <w:r w:rsidRPr="00200456">
        <w:t xml:space="preserve"> nova automat kluba,</w:t>
      </w:r>
      <w:r w:rsidR="00C751D1" w:rsidRPr="00C751D1">
        <w:t xml:space="preserve"> planirano otvaranje 25 novih prodajnih mjesta te opremanje sa dodatnim automatima postojećih prodajnih mjesta</w:t>
      </w:r>
      <w:r w:rsidRPr="00200456">
        <w:t>.</w:t>
      </w:r>
    </w:p>
    <w:p w:rsidR="00D05438" w:rsidRPr="00DD30CD" w:rsidRDefault="00D05438" w:rsidP="00D05438">
      <w:pPr>
        <w:pStyle w:val="ListParagraph"/>
        <w:tabs>
          <w:tab w:val="left" w:pos="-709"/>
          <w:tab w:val="left" w:pos="142"/>
        </w:tabs>
        <w:spacing w:after="0" w:line="240" w:lineRule="auto"/>
        <w:jc w:val="both"/>
      </w:pPr>
    </w:p>
    <w:p w:rsidR="00D05438" w:rsidRPr="003C1ECC" w:rsidRDefault="00D05438" w:rsidP="00D05438">
      <w:pPr>
        <w:pStyle w:val="ListParagraph"/>
        <w:numPr>
          <w:ilvl w:val="0"/>
          <w:numId w:val="28"/>
        </w:numPr>
        <w:tabs>
          <w:tab w:val="left" w:pos="-709"/>
          <w:tab w:val="left" w:pos="142"/>
        </w:tabs>
        <w:spacing w:after="0" w:line="240" w:lineRule="auto"/>
        <w:jc w:val="both"/>
      </w:pPr>
      <w:r w:rsidRPr="00211E18">
        <w:t xml:space="preserve">Za </w:t>
      </w:r>
      <w:r w:rsidRPr="00BF2390">
        <w:rPr>
          <w:b/>
        </w:rPr>
        <w:t>troškove telefona, prijevoza i slično</w:t>
      </w:r>
      <w:r w:rsidRPr="00211E18">
        <w:t xml:space="preserve"> planirano je </w:t>
      </w:r>
      <w:r w:rsidR="004649F8">
        <w:t>9</w:t>
      </w:r>
      <w:r w:rsidRPr="00211E18">
        <w:t>,</w:t>
      </w:r>
      <w:r w:rsidR="00016F4A">
        <w:t>4</w:t>
      </w:r>
      <w:r w:rsidRPr="00211E18">
        <w:t xml:space="preserve"> mil.kn, a povećanje od 1,</w:t>
      </w:r>
      <w:r w:rsidR="00016F4A">
        <w:t>7</w:t>
      </w:r>
      <w:r w:rsidRPr="00211E18">
        <w:t xml:space="preserve"> mil.kn odnosi se uglavnom na </w:t>
      </w:r>
      <w:r w:rsidR="00460755">
        <w:t xml:space="preserve">usluge dostave i logistike, gdje je </w:t>
      </w:r>
      <w:r w:rsidR="00963FC3">
        <w:t>od 1.12.2018.</w:t>
      </w:r>
      <w:r w:rsidR="00460755">
        <w:t xml:space="preserve"> na snazi </w:t>
      </w:r>
      <w:r w:rsidR="00460755" w:rsidRPr="00460755">
        <w:t xml:space="preserve">novi ugovor o distribuciji, </w:t>
      </w:r>
      <w:r w:rsidR="00460755">
        <w:t>kojim</w:t>
      </w:r>
      <w:r w:rsidR="00460755" w:rsidRPr="00460755">
        <w:t xml:space="preserve"> će se </w:t>
      </w:r>
      <w:r w:rsidR="00460755" w:rsidRPr="003C1ECC">
        <w:t>koristiti usluge vanjskog dobavljača</w:t>
      </w:r>
      <w:r w:rsidRPr="003C1ECC">
        <w:t>.</w:t>
      </w:r>
    </w:p>
    <w:p w:rsidR="00D05438" w:rsidRPr="003C1ECC" w:rsidRDefault="00D05438" w:rsidP="00D05438">
      <w:pPr>
        <w:pStyle w:val="ListParagraph"/>
        <w:tabs>
          <w:tab w:val="left" w:pos="-709"/>
          <w:tab w:val="left" w:pos="142"/>
        </w:tabs>
        <w:spacing w:after="0" w:line="240" w:lineRule="auto"/>
        <w:jc w:val="both"/>
      </w:pPr>
    </w:p>
    <w:p w:rsidR="00D05438" w:rsidRPr="003C1ECC" w:rsidRDefault="00D05438" w:rsidP="00D05438">
      <w:pPr>
        <w:pStyle w:val="ListParagraph"/>
        <w:numPr>
          <w:ilvl w:val="0"/>
          <w:numId w:val="28"/>
        </w:numPr>
        <w:tabs>
          <w:tab w:val="left" w:pos="-709"/>
          <w:tab w:val="left" w:pos="142"/>
        </w:tabs>
        <w:spacing w:after="0" w:line="240" w:lineRule="auto"/>
        <w:jc w:val="both"/>
      </w:pPr>
      <w:r w:rsidRPr="003C1ECC">
        <w:rPr>
          <w:b/>
        </w:rPr>
        <w:t>Troškovi vanjskih usluga pri izradi proizvoda i obavljanju usluga</w:t>
      </w:r>
      <w:r w:rsidRPr="003C1ECC">
        <w:t xml:space="preserve"> (planirano 9,7 mil. kn) planiraju se za </w:t>
      </w:r>
      <w:r w:rsidR="00460755" w:rsidRPr="003C1ECC">
        <w:t>1</w:t>
      </w:r>
      <w:r w:rsidRPr="003C1ECC">
        <w:t>,</w:t>
      </w:r>
      <w:r w:rsidR="00460755" w:rsidRPr="003C1ECC">
        <w:t>0</w:t>
      </w:r>
      <w:r w:rsidRPr="003C1ECC">
        <w:t xml:space="preserve"> mil. kn više od procjene zbog uvođenja </w:t>
      </w:r>
      <w:r w:rsidR="00A84157" w:rsidRPr="003C1ECC">
        <w:t>rasta troška štampanja srećaka te</w:t>
      </w:r>
      <w:r w:rsidRPr="003C1ECC">
        <w:t xml:space="preserve"> povećanja klađenja uživo, </w:t>
      </w:r>
      <w:r w:rsidR="00460755" w:rsidRPr="003C1ECC">
        <w:t xml:space="preserve">koje se plaća po </w:t>
      </w:r>
      <w:r w:rsidR="00A84157" w:rsidRPr="003C1ECC">
        <w:t>„</w:t>
      </w:r>
      <w:r w:rsidR="00460755" w:rsidRPr="003C1ECC">
        <w:t>revenue share</w:t>
      </w:r>
      <w:r w:rsidR="00A84157" w:rsidRPr="003C1ECC">
        <w:t>“</w:t>
      </w:r>
      <w:r w:rsidR="00460755" w:rsidRPr="003C1ECC">
        <w:t xml:space="preserve"> modelu, </w:t>
      </w:r>
      <w:r w:rsidR="00A84157" w:rsidRPr="003C1ECC">
        <w:t xml:space="preserve">pa stoga </w:t>
      </w:r>
      <w:r w:rsidR="00460755" w:rsidRPr="003C1ECC">
        <w:t xml:space="preserve">rastu i troškovi </w:t>
      </w:r>
      <w:r w:rsidR="00A84157" w:rsidRPr="003C1ECC">
        <w:t>„</w:t>
      </w:r>
      <w:r w:rsidR="00460755" w:rsidRPr="003C1ECC">
        <w:t>revenue sharea</w:t>
      </w:r>
      <w:r w:rsidR="00A84157" w:rsidRPr="003C1ECC">
        <w:t>“</w:t>
      </w:r>
      <w:r w:rsidR="00460755" w:rsidRPr="003C1ECC">
        <w:t xml:space="preserve"> za isti postotak.</w:t>
      </w:r>
    </w:p>
    <w:p w:rsidR="00D05438" w:rsidRPr="003C1ECC" w:rsidRDefault="00D05438" w:rsidP="00D05438">
      <w:pPr>
        <w:pStyle w:val="ListParagraph"/>
        <w:tabs>
          <w:tab w:val="left" w:pos="-709"/>
          <w:tab w:val="left" w:pos="142"/>
        </w:tabs>
        <w:spacing w:after="0" w:line="240" w:lineRule="auto"/>
        <w:jc w:val="both"/>
      </w:pPr>
    </w:p>
    <w:p w:rsidR="00D05438" w:rsidRPr="003C1ECC" w:rsidRDefault="00D05438" w:rsidP="002E1D4D">
      <w:pPr>
        <w:pStyle w:val="ListParagraph"/>
        <w:numPr>
          <w:ilvl w:val="0"/>
          <w:numId w:val="28"/>
        </w:numPr>
        <w:tabs>
          <w:tab w:val="left" w:pos="-709"/>
          <w:tab w:val="left" w:pos="142"/>
        </w:tabs>
        <w:spacing w:after="0" w:line="240" w:lineRule="auto"/>
        <w:jc w:val="both"/>
      </w:pPr>
      <w:r w:rsidRPr="003C1ECC">
        <w:rPr>
          <w:b/>
        </w:rPr>
        <w:t>Usluge održavanja</w:t>
      </w:r>
      <w:r w:rsidR="00016F4A">
        <w:t xml:space="preserve"> (planirano 27</w:t>
      </w:r>
      <w:r w:rsidRPr="003C1ECC">
        <w:t>,</w:t>
      </w:r>
      <w:r w:rsidR="00016F4A">
        <w:t>9</w:t>
      </w:r>
      <w:r w:rsidR="00FB123E">
        <w:t xml:space="preserve"> mil.</w:t>
      </w:r>
      <w:r w:rsidRPr="003C1ECC">
        <w:t xml:space="preserve">kn) za </w:t>
      </w:r>
      <w:r w:rsidR="0043357B" w:rsidRPr="003C1ECC">
        <w:t>10</w:t>
      </w:r>
      <w:r w:rsidRPr="003C1ECC">
        <w:t>,</w:t>
      </w:r>
      <w:r w:rsidR="00FB123E">
        <w:t>0</w:t>
      </w:r>
      <w:r w:rsidRPr="003C1ECC">
        <w:t xml:space="preserve"> mil.kn više od procjene za 201</w:t>
      </w:r>
      <w:r w:rsidR="0043357B" w:rsidRPr="003C1ECC">
        <w:t>8</w:t>
      </w:r>
      <w:r w:rsidRPr="003C1ECC">
        <w:t>. godinu, a najznačajnije povećanje (</w:t>
      </w:r>
      <w:r w:rsidR="0043357B" w:rsidRPr="003C1ECC">
        <w:t>4</w:t>
      </w:r>
      <w:r w:rsidRPr="003C1ECC">
        <w:t>,</w:t>
      </w:r>
      <w:r w:rsidR="00FB123E">
        <w:t>0</w:t>
      </w:r>
      <w:r w:rsidRPr="003C1ECC">
        <w:t xml:space="preserve"> mil.kn) odnosi se na </w:t>
      </w:r>
      <w:r w:rsidR="0043357B" w:rsidRPr="003C1ECC">
        <w:t xml:space="preserve">usluge održavanja softvera, od čeka ponajviše na kupnju programera koje više ne možemo zapošljavati u kući jer im ne možemo ponuditi konkurentne uvjete, nego ih nažalost kao i brojne druge firme ubuduće moramo kupovati. Na uslugama održavanja softvera također se </w:t>
      </w:r>
      <w:r w:rsidR="0043357B" w:rsidRPr="00B14CB3">
        <w:t xml:space="preserve">planira i </w:t>
      </w:r>
      <w:r w:rsidR="003C1ECC" w:rsidRPr="00B14CB3">
        <w:t>1</w:t>
      </w:r>
      <w:r w:rsidR="00B14CB3" w:rsidRPr="00B14CB3">
        <w:t xml:space="preserve"> mil</w:t>
      </w:r>
      <w:r w:rsidR="00B14CB3">
        <w:t>.</w:t>
      </w:r>
      <w:r w:rsidR="00B14CB3" w:rsidRPr="00B14CB3">
        <w:t xml:space="preserve"> kn za</w:t>
      </w:r>
      <w:r w:rsidR="00845295" w:rsidRPr="003C1ECC">
        <w:t xml:space="preserve"> potrebe </w:t>
      </w:r>
      <w:r w:rsidR="0005511A" w:rsidRPr="003C1ECC">
        <w:t xml:space="preserve">održavanja softvera </w:t>
      </w:r>
      <w:r w:rsidR="00845295" w:rsidRPr="003C1ECC">
        <w:t>HLBOX-a.</w:t>
      </w:r>
      <w:r w:rsidR="0043357B" w:rsidRPr="003C1ECC">
        <w:t xml:space="preserve">  </w:t>
      </w:r>
      <w:r w:rsidRPr="003C1ECC">
        <w:t xml:space="preserve">Sljedeća stavka od </w:t>
      </w:r>
      <w:r w:rsidR="00845295" w:rsidRPr="003C1ECC">
        <w:t>3</w:t>
      </w:r>
      <w:r w:rsidRPr="003C1ECC">
        <w:t>,</w:t>
      </w:r>
      <w:r w:rsidR="00845295" w:rsidRPr="003C1ECC">
        <w:t>6</w:t>
      </w:r>
      <w:r w:rsidRPr="003C1ECC">
        <w:t xml:space="preserve"> mil. kn odnosi se na povećanje troškova za održavanje</w:t>
      </w:r>
      <w:r w:rsidR="00845295" w:rsidRPr="003C1ECC">
        <w:t xml:space="preserve"> ostale informatičke opreme: ugovaranje nove usluge ispisnog riješenja te nabavku novih terminala, koja je vezana za novu platformu</w:t>
      </w:r>
      <w:r w:rsidRPr="003C1ECC">
        <w:t xml:space="preserve">. Povećanje od </w:t>
      </w:r>
      <w:r w:rsidR="0005511A" w:rsidRPr="003C1ECC">
        <w:t>1</w:t>
      </w:r>
      <w:r w:rsidRPr="003C1ECC">
        <w:t xml:space="preserve">,2 mil. kn odnosi se na </w:t>
      </w:r>
      <w:r w:rsidR="0005511A" w:rsidRPr="003C1ECC">
        <w:t xml:space="preserve">usluge tekućeg </w:t>
      </w:r>
      <w:r w:rsidRPr="003C1ECC">
        <w:t>održavanj</w:t>
      </w:r>
      <w:r w:rsidR="0005511A" w:rsidRPr="003C1ECC">
        <w:t>a automata, što je direktno vezano za širenje mreže automat klubova, kao i povećanje broja automata na prodajnim mjestima.</w:t>
      </w:r>
      <w:r w:rsidRPr="003C1ECC">
        <w:t xml:space="preserve"> </w:t>
      </w:r>
      <w:r w:rsidR="0005511A" w:rsidRPr="003C1ECC">
        <w:t>Sljedeća stavka od 0,</w:t>
      </w:r>
      <w:r w:rsidR="00FB123E">
        <w:t>4</w:t>
      </w:r>
      <w:r w:rsidR="0005511A" w:rsidRPr="003C1ECC">
        <w:t xml:space="preserve"> mil kn vezana je za održavanje document management sistema, gdje po isteku postojećeg ugovora o održavanju pokrećemo postupak usluge razvoja i unaprjeđenja DMS-a. Obzirom na opsežnost procesa isti će trajati 2 g</w:t>
      </w:r>
      <w:r w:rsidR="00FB123E">
        <w:t xml:space="preserve">odine. Povećanje troškova od 0,3 </w:t>
      </w:r>
      <w:r w:rsidR="00FB123E">
        <w:lastRenderedPageBreak/>
        <w:t>mil.</w:t>
      </w:r>
      <w:r w:rsidR="0005511A" w:rsidRPr="003C1ECC">
        <w:t xml:space="preserve">kn </w:t>
      </w:r>
      <w:r w:rsidR="002E1D4D" w:rsidRPr="003C1ECC">
        <w:t>vezano je za održavanje</w:t>
      </w:r>
      <w:r w:rsidR="0005511A" w:rsidRPr="003C1ECC">
        <w:t xml:space="preserve"> </w:t>
      </w:r>
      <w:r w:rsidRPr="003C1ECC">
        <w:t xml:space="preserve">poslovnog sustava (novokupljene Oracle licence). Planom su također predviđeni povećani troškovi za održavanje </w:t>
      </w:r>
      <w:r w:rsidR="002E1D4D" w:rsidRPr="003C1ECC">
        <w:t>web stranica</w:t>
      </w:r>
      <w:r w:rsidRPr="003C1ECC">
        <w:t xml:space="preserve"> </w:t>
      </w:r>
      <w:r w:rsidR="002E1D4D" w:rsidRPr="003C1ECC">
        <w:t>u iznosu 0,4 mil kn</w:t>
      </w:r>
      <w:r w:rsidRPr="003C1ECC">
        <w:t>. Na razne ostale usluge koje su vezane uz poštivanje raznih zakonskih regulativa kao što su: usluge zaštite na radu,</w:t>
      </w:r>
      <w:r w:rsidR="002E1D4D" w:rsidRPr="003C1ECC">
        <w:t xml:space="preserve"> održavanje opreme za sigurno</w:t>
      </w:r>
      <w:r w:rsidR="00FB123E">
        <w:t>st i zaštitu, sigurnosne usluge</w:t>
      </w:r>
      <w:r w:rsidR="002E1D4D" w:rsidRPr="003C1ECC">
        <w:t xml:space="preserve"> </w:t>
      </w:r>
      <w:r w:rsidRPr="003C1ECC">
        <w:t xml:space="preserve">odnosi se </w:t>
      </w:r>
      <w:r w:rsidR="002E1D4D" w:rsidRPr="003C1ECC">
        <w:t>poveć</w:t>
      </w:r>
      <w:r w:rsidR="00FB123E">
        <w:t>a</w:t>
      </w:r>
      <w:r w:rsidR="002E1D4D" w:rsidRPr="003C1ECC">
        <w:t xml:space="preserve">nje od </w:t>
      </w:r>
      <w:r w:rsidRPr="003C1ECC">
        <w:t>0,</w:t>
      </w:r>
      <w:r w:rsidR="002E1D4D" w:rsidRPr="003C1ECC">
        <w:t>2</w:t>
      </w:r>
      <w:r w:rsidRPr="003C1ECC">
        <w:t xml:space="preserve"> mil. </w:t>
      </w:r>
      <w:r w:rsidR="002E1D4D" w:rsidRPr="003C1ECC">
        <w:t>K</w:t>
      </w:r>
      <w:r w:rsidRPr="003C1ECC">
        <w:t>n</w:t>
      </w:r>
      <w:r w:rsidR="002E1D4D" w:rsidRPr="003C1ECC">
        <w:t>, a određena povećanja očekuju se i za usluge čišćenja (0,2 mil kn), te u manjim iznosima ostale razne usluge održavanja.</w:t>
      </w:r>
    </w:p>
    <w:p w:rsidR="00D05438" w:rsidRPr="00EF0401" w:rsidRDefault="00D05438" w:rsidP="00D05438">
      <w:pPr>
        <w:pStyle w:val="ListParagraph"/>
        <w:tabs>
          <w:tab w:val="left" w:pos="-709"/>
          <w:tab w:val="left" w:pos="142"/>
        </w:tabs>
        <w:spacing w:after="0" w:line="240" w:lineRule="auto"/>
        <w:jc w:val="both"/>
      </w:pPr>
    </w:p>
    <w:p w:rsidR="00D05438" w:rsidRPr="00EF0401" w:rsidRDefault="00D05438" w:rsidP="00711AE4">
      <w:pPr>
        <w:pStyle w:val="ListParagraph"/>
        <w:numPr>
          <w:ilvl w:val="0"/>
          <w:numId w:val="28"/>
        </w:numPr>
        <w:tabs>
          <w:tab w:val="left" w:pos="-709"/>
          <w:tab w:val="left" w:pos="142"/>
        </w:tabs>
        <w:spacing w:after="0" w:line="240" w:lineRule="auto"/>
        <w:jc w:val="both"/>
      </w:pPr>
      <w:r w:rsidRPr="00EF0401">
        <w:rPr>
          <w:b/>
        </w:rPr>
        <w:t>Troškovi zakupnina</w:t>
      </w:r>
      <w:r w:rsidRPr="00EF0401">
        <w:t xml:space="preserve"> (ukupno planirano </w:t>
      </w:r>
      <w:r w:rsidR="004C2808" w:rsidRPr="00EF0401">
        <w:t>50</w:t>
      </w:r>
      <w:r w:rsidRPr="00EF0401">
        <w:t>,</w:t>
      </w:r>
      <w:r w:rsidR="004C2808" w:rsidRPr="00EF0401">
        <w:t>0</w:t>
      </w:r>
      <w:r w:rsidRPr="00EF0401">
        <w:t xml:space="preserve"> mil. kn) veći su od procjene za </w:t>
      </w:r>
      <w:r w:rsidR="00EF0401" w:rsidRPr="00EF0401">
        <w:t>6</w:t>
      </w:r>
      <w:r w:rsidRPr="00EF0401">
        <w:t>,</w:t>
      </w:r>
      <w:r w:rsidR="00EF0401" w:rsidRPr="00EF0401">
        <w:t>8</w:t>
      </w:r>
      <w:r w:rsidRPr="00EF0401">
        <w:t xml:space="preserve"> mil. kn, a to povećanje najvećim dijelom odnosi se na troškove operativnog (poslovnog) leasinga opreme (od 6,</w:t>
      </w:r>
      <w:r w:rsidR="00EF0401" w:rsidRPr="00EF0401">
        <w:t>1</w:t>
      </w:r>
      <w:r w:rsidRPr="00EF0401">
        <w:t xml:space="preserve"> mil. kn) koji je u skladu s planiranim rastom prihoda iCasina i prihoda </w:t>
      </w:r>
      <w:r w:rsidR="00EF0401" w:rsidRPr="00EF0401">
        <w:t>Brze igre</w:t>
      </w:r>
      <w:r w:rsidRPr="00EF0401">
        <w:t xml:space="preserve">.  Zakupnine za automat klubove također su u porastu za </w:t>
      </w:r>
      <w:r w:rsidR="00EF0401" w:rsidRPr="00EF0401">
        <w:t>1</w:t>
      </w:r>
      <w:r w:rsidRPr="00EF0401">
        <w:t>,</w:t>
      </w:r>
      <w:r w:rsidR="00EF0401" w:rsidRPr="00EF0401">
        <w:t>0</w:t>
      </w:r>
      <w:r w:rsidRPr="00EF0401">
        <w:t xml:space="preserve"> mil. kn zbog planiranog otvaranja </w:t>
      </w:r>
      <w:r w:rsidR="00EF0401" w:rsidRPr="00EF0401">
        <w:t>četiri</w:t>
      </w:r>
      <w:r w:rsidRPr="00EF0401">
        <w:t xml:space="preserve"> nova automat kluba. Planirani </w:t>
      </w:r>
      <w:r w:rsidR="00EF0401" w:rsidRPr="00EF0401">
        <w:t>troškovi</w:t>
      </w:r>
      <w:r w:rsidRPr="00EF0401">
        <w:t xml:space="preserve"> zakupnina za casino </w:t>
      </w:r>
      <w:r w:rsidR="00EF0401" w:rsidRPr="00EF0401">
        <w:t>manji su za 1</w:t>
      </w:r>
      <w:r w:rsidRPr="00EF0401">
        <w:t>,</w:t>
      </w:r>
      <w:r w:rsidR="00EF0401" w:rsidRPr="00EF0401">
        <w:t>1</w:t>
      </w:r>
      <w:r w:rsidRPr="00EF0401">
        <w:t xml:space="preserve"> mil. </w:t>
      </w:r>
      <w:r w:rsidR="00EF0401" w:rsidRPr="00EF0401">
        <w:t>k</w:t>
      </w:r>
      <w:r w:rsidRPr="00EF0401">
        <w:t>n</w:t>
      </w:r>
      <w:r w:rsidR="00EF0401" w:rsidRPr="00EF0401">
        <w:t xml:space="preserve"> od procjene za 2018.godinu zbog preseljenja casina na novu lokaciju, čime planiramo ostvariti uštede na toj poziciji troškova. Zakupnine za prodajne prostore u porastu su od 1</w:t>
      </w:r>
      <w:r w:rsidR="00A956E1">
        <w:t>,0</w:t>
      </w:r>
      <w:r w:rsidR="00EF0401" w:rsidRPr="00EF0401">
        <w:t xml:space="preserve"> mil kn zbog planiranog otvaranja novih prodajnih mjesta.</w:t>
      </w:r>
      <w:r w:rsidRPr="00EF0401">
        <w:t xml:space="preserve"> </w:t>
      </w:r>
      <w:r w:rsidR="00A90608">
        <w:t>Na ostalim kategorijama zakupnina planirane su uštede u odnosu na procjenu (za 0,2 mil kn).</w:t>
      </w:r>
    </w:p>
    <w:p w:rsidR="00EF0401" w:rsidRPr="00EF0401" w:rsidRDefault="00EF0401" w:rsidP="00EF0401">
      <w:pPr>
        <w:tabs>
          <w:tab w:val="left" w:pos="-709"/>
          <w:tab w:val="left" w:pos="142"/>
        </w:tabs>
        <w:spacing w:after="0" w:line="240" w:lineRule="auto"/>
        <w:jc w:val="both"/>
        <w:rPr>
          <w:highlight w:val="yellow"/>
        </w:rPr>
      </w:pPr>
    </w:p>
    <w:p w:rsidR="00D05438" w:rsidRPr="003C1ECC" w:rsidRDefault="00D05438" w:rsidP="00D05438">
      <w:pPr>
        <w:pStyle w:val="ListParagraph"/>
        <w:numPr>
          <w:ilvl w:val="0"/>
          <w:numId w:val="28"/>
        </w:numPr>
        <w:tabs>
          <w:tab w:val="left" w:pos="-709"/>
          <w:tab w:val="left" w:pos="142"/>
        </w:tabs>
        <w:spacing w:after="0" w:line="240" w:lineRule="auto"/>
        <w:jc w:val="both"/>
      </w:pPr>
      <w:r w:rsidRPr="001F34C6">
        <w:t xml:space="preserve">Na </w:t>
      </w:r>
      <w:r w:rsidRPr="001F34C6">
        <w:rPr>
          <w:b/>
        </w:rPr>
        <w:t>troškove promidžbe</w:t>
      </w:r>
      <w:r w:rsidRPr="001F34C6">
        <w:t xml:space="preserve"> (planirano</w:t>
      </w:r>
      <w:r w:rsidR="00A76241">
        <w:t xml:space="preserve"> 40</w:t>
      </w:r>
      <w:r w:rsidRPr="001F34C6">
        <w:t>,</w:t>
      </w:r>
      <w:r w:rsidR="00A76241">
        <w:t>7</w:t>
      </w:r>
      <w:r w:rsidRPr="001F34C6">
        <w:t xml:space="preserve"> mil.kn) planira se utrošiti </w:t>
      </w:r>
      <w:r w:rsidR="00A76241">
        <w:t>7</w:t>
      </w:r>
      <w:r w:rsidRPr="001F34C6">
        <w:t>,</w:t>
      </w:r>
      <w:r w:rsidR="00A76241">
        <w:t>5</w:t>
      </w:r>
      <w:r w:rsidRPr="001F34C6">
        <w:t xml:space="preserve"> mil.kn više nego što je procijenjeno za 201</w:t>
      </w:r>
      <w:r w:rsidR="00E01EDF" w:rsidRPr="001F34C6">
        <w:t>8</w:t>
      </w:r>
      <w:r w:rsidRPr="001F34C6">
        <w:t>. godinu, a odnosi se na povećanje troškova reklamiranja u svim medijima,</w:t>
      </w:r>
      <w:r w:rsidR="00E01EDF" w:rsidRPr="001F34C6">
        <w:t xml:space="preserve"> osim radija</w:t>
      </w:r>
      <w:r w:rsidR="001F34C6" w:rsidRPr="001F34C6">
        <w:t xml:space="preserve">, </w:t>
      </w:r>
      <w:r w:rsidRPr="001F34C6">
        <w:t>tisak promo tiskanica, usluge istraživanje tržišta</w:t>
      </w:r>
      <w:r w:rsidR="001F34C6">
        <w:t>, troškove promidžbenog materijala</w:t>
      </w:r>
      <w:r w:rsidRPr="001F34C6">
        <w:t xml:space="preserve"> i sl.</w:t>
      </w:r>
      <w:r w:rsidR="001F34C6" w:rsidRPr="001F34C6">
        <w:t xml:space="preserve"> U </w:t>
      </w:r>
      <w:r w:rsidR="001F34C6" w:rsidRPr="003C1ECC">
        <w:t>2019. planiramo nagradne te promotivne igre za Kladionicu HL, iCasino i otvaranje casina u Zagrebu.</w:t>
      </w:r>
    </w:p>
    <w:p w:rsidR="00D05438" w:rsidRPr="003C1ECC" w:rsidRDefault="00D05438" w:rsidP="00D05438">
      <w:pPr>
        <w:pStyle w:val="ListParagraph"/>
        <w:tabs>
          <w:tab w:val="left" w:pos="-709"/>
          <w:tab w:val="left" w:pos="142"/>
        </w:tabs>
        <w:spacing w:after="0" w:line="240" w:lineRule="auto"/>
        <w:jc w:val="both"/>
      </w:pPr>
    </w:p>
    <w:p w:rsidR="00D05438" w:rsidRPr="003C1ECC" w:rsidRDefault="00D05438" w:rsidP="00D05438">
      <w:pPr>
        <w:pStyle w:val="ListParagraph"/>
        <w:numPr>
          <w:ilvl w:val="0"/>
          <w:numId w:val="28"/>
        </w:numPr>
        <w:tabs>
          <w:tab w:val="left" w:pos="-709"/>
          <w:tab w:val="left" w:pos="142"/>
        </w:tabs>
        <w:spacing w:after="0" w:line="240" w:lineRule="auto"/>
        <w:jc w:val="both"/>
      </w:pPr>
      <w:r w:rsidRPr="003C1ECC">
        <w:rPr>
          <w:b/>
        </w:rPr>
        <w:t>Troškovi ostalih vanjskih, intelektualnih i ostalih usluga</w:t>
      </w:r>
      <w:r w:rsidRPr="003C1ECC">
        <w:t xml:space="preserve"> (planirano 5</w:t>
      </w:r>
      <w:r w:rsidR="00A76241">
        <w:t>2</w:t>
      </w:r>
      <w:r w:rsidRPr="003C1ECC">
        <w:t>,</w:t>
      </w:r>
      <w:r w:rsidR="00331E00" w:rsidRPr="003C1ECC">
        <w:t>9</w:t>
      </w:r>
      <w:r w:rsidR="00A7030B">
        <w:t xml:space="preserve"> mil.</w:t>
      </w:r>
      <w:r w:rsidRPr="003C1ECC">
        <w:t>kn) povećani su u odnosu na procjenu za 201</w:t>
      </w:r>
      <w:r w:rsidR="00331E00" w:rsidRPr="003C1ECC">
        <w:t>8</w:t>
      </w:r>
      <w:r w:rsidRPr="003C1ECC">
        <w:t xml:space="preserve">. godinu </w:t>
      </w:r>
      <w:r w:rsidR="00A76241">
        <w:t>6</w:t>
      </w:r>
      <w:r w:rsidRPr="003C1ECC">
        <w:t>,</w:t>
      </w:r>
      <w:r w:rsidR="00331E00" w:rsidRPr="003C1ECC">
        <w:t>9</w:t>
      </w:r>
      <w:r w:rsidR="00A7030B">
        <w:t xml:space="preserve"> mil.</w:t>
      </w:r>
      <w:r w:rsidRPr="003C1ECC">
        <w:t>kn, a najznačajnija povećanja odnose se na sljedeće troškove:</w:t>
      </w:r>
    </w:p>
    <w:p w:rsidR="00D05438" w:rsidRPr="003C1ECC" w:rsidRDefault="00D05438" w:rsidP="00D05438">
      <w:pPr>
        <w:pStyle w:val="ListParagraph"/>
        <w:numPr>
          <w:ilvl w:val="1"/>
          <w:numId w:val="28"/>
        </w:numPr>
        <w:tabs>
          <w:tab w:val="left" w:pos="-709"/>
          <w:tab w:val="left" w:pos="142"/>
        </w:tabs>
        <w:spacing w:after="0" w:line="240" w:lineRule="auto"/>
        <w:jc w:val="both"/>
      </w:pPr>
      <w:r w:rsidRPr="003C1ECC">
        <w:rPr>
          <w:b/>
        </w:rPr>
        <w:t>Troškovi usluga streaminga i pripreme igara</w:t>
      </w:r>
      <w:r w:rsidRPr="003C1ECC">
        <w:t xml:space="preserve"> (planirano 3,</w:t>
      </w:r>
      <w:r w:rsidR="00331E00" w:rsidRPr="003C1ECC">
        <w:t>4</w:t>
      </w:r>
      <w:r w:rsidRPr="003C1ECC">
        <w:t xml:space="preserve"> mil. kn) u odnosu na procjenu za 201</w:t>
      </w:r>
      <w:r w:rsidR="00331E00" w:rsidRPr="003C1ECC">
        <w:t>8</w:t>
      </w:r>
      <w:r w:rsidRPr="003C1ECC">
        <w:t xml:space="preserve">. godinu veći su za </w:t>
      </w:r>
      <w:r w:rsidR="00331E00" w:rsidRPr="003C1ECC">
        <w:t>2</w:t>
      </w:r>
      <w:r w:rsidRPr="003C1ECC">
        <w:t>,</w:t>
      </w:r>
      <w:r w:rsidR="00331E00" w:rsidRPr="003C1ECC">
        <w:t>7</w:t>
      </w:r>
      <w:r w:rsidRPr="003C1ECC">
        <w:t xml:space="preserve"> mil.kn. Do povećanja dolazi iz razloga što je zbog promjene navika igrača na tržištu klađenja neophodno osigurati konkurentan proizvod i broj događaja putem streaminga, što do sada nismo dovoljno dobro implementirali u našoj ponudi. </w:t>
      </w:r>
    </w:p>
    <w:p w:rsidR="00331E00" w:rsidRPr="003C1ECC" w:rsidRDefault="00D05438" w:rsidP="00331E00">
      <w:pPr>
        <w:pStyle w:val="ListParagraph"/>
        <w:numPr>
          <w:ilvl w:val="1"/>
          <w:numId w:val="28"/>
        </w:numPr>
        <w:tabs>
          <w:tab w:val="left" w:pos="-709"/>
          <w:tab w:val="left" w:pos="142"/>
        </w:tabs>
        <w:jc w:val="both"/>
      </w:pPr>
      <w:r w:rsidRPr="003C1ECC">
        <w:rPr>
          <w:b/>
        </w:rPr>
        <w:t>Intelektualne i konzultantske usluge</w:t>
      </w:r>
      <w:r w:rsidRPr="003C1ECC">
        <w:t xml:space="preserve"> (planirano </w:t>
      </w:r>
      <w:r w:rsidR="00331E00" w:rsidRPr="003C1ECC">
        <w:t>1</w:t>
      </w:r>
      <w:r w:rsidR="00A7030B">
        <w:t>,8 mil.</w:t>
      </w:r>
      <w:r w:rsidRPr="003C1ECC">
        <w:t xml:space="preserve">kn) – planirano je više za </w:t>
      </w:r>
      <w:r w:rsidR="00331E00" w:rsidRPr="003C1ECC">
        <w:t>0</w:t>
      </w:r>
      <w:r w:rsidRPr="003C1ECC">
        <w:t>,</w:t>
      </w:r>
      <w:r w:rsidR="00A7030B">
        <w:t>6 mil.</w:t>
      </w:r>
      <w:r w:rsidRPr="003C1ECC">
        <w:t xml:space="preserve">kn, a </w:t>
      </w:r>
      <w:r w:rsidR="003C1ECC" w:rsidRPr="003C1ECC">
        <w:t xml:space="preserve">djelomični </w:t>
      </w:r>
      <w:r w:rsidRPr="003C1ECC">
        <w:t>razlozi povećanja proizlaze iz potrebe konzultacija vezanih uz</w:t>
      </w:r>
      <w:r w:rsidR="003C1ECC" w:rsidRPr="003C1ECC">
        <w:t xml:space="preserve"> snimke poslovnih procesa Hrvatske Lutrije d.o.o</w:t>
      </w:r>
      <w:r w:rsidRPr="003C1ECC">
        <w:t>.</w:t>
      </w:r>
      <w:r w:rsidR="003C1ECC" w:rsidRPr="003C1ECC">
        <w:t>,</w:t>
      </w:r>
      <w:r w:rsidR="004B0CAC">
        <w:t xml:space="preserve"> usluge kreiranje e-learni</w:t>
      </w:r>
      <w:r w:rsidR="00813033">
        <w:t>n</w:t>
      </w:r>
      <w:r w:rsidR="004B0CAC">
        <w:t>g sadržaja, i td.</w:t>
      </w:r>
      <w:r w:rsidR="003C1ECC" w:rsidRPr="003C1ECC">
        <w:t xml:space="preserve"> </w:t>
      </w:r>
    </w:p>
    <w:p w:rsidR="00D05438" w:rsidRPr="003C1ECC" w:rsidRDefault="00D05438" w:rsidP="00331E00">
      <w:pPr>
        <w:pStyle w:val="ListParagraph"/>
        <w:numPr>
          <w:ilvl w:val="1"/>
          <w:numId w:val="28"/>
        </w:numPr>
        <w:tabs>
          <w:tab w:val="left" w:pos="-709"/>
          <w:tab w:val="left" w:pos="142"/>
        </w:tabs>
        <w:jc w:val="both"/>
      </w:pPr>
      <w:r w:rsidRPr="003C1ECC">
        <w:rPr>
          <w:b/>
        </w:rPr>
        <w:t>Troškovi provizija za poslovnu suradnju</w:t>
      </w:r>
      <w:r w:rsidRPr="003C1ECC">
        <w:t xml:space="preserve"> (planirano </w:t>
      </w:r>
      <w:r w:rsidR="00A7030B">
        <w:t>29</w:t>
      </w:r>
      <w:r w:rsidRPr="003C1ECC">
        <w:t>,</w:t>
      </w:r>
      <w:r w:rsidR="00A7030B">
        <w:t>0</w:t>
      </w:r>
      <w:r w:rsidRPr="003C1ECC">
        <w:t xml:space="preserve"> mil.kn) – planira se povećanje </w:t>
      </w:r>
      <w:r w:rsidR="00A7030B">
        <w:t>troškova za navedene usluge od 2</w:t>
      </w:r>
      <w:r w:rsidRPr="003C1ECC">
        <w:t>,</w:t>
      </w:r>
      <w:r w:rsidR="00A7030B">
        <w:t>7 mil.</w:t>
      </w:r>
      <w:r w:rsidRPr="003C1ECC">
        <w:t xml:space="preserve">kn zbog </w:t>
      </w:r>
      <w:r w:rsidR="003C1ECC" w:rsidRPr="003C1ECC">
        <w:t>širenja mreže poslovne suradnje, kao i povećanja planiranog prometa/prihoda u kanalu poslovne suradnje.</w:t>
      </w:r>
    </w:p>
    <w:p w:rsidR="00D05438" w:rsidRPr="00DD30CD" w:rsidRDefault="00D05438" w:rsidP="00D05438">
      <w:pPr>
        <w:pStyle w:val="ListParagraph"/>
        <w:tabs>
          <w:tab w:val="left" w:pos="-709"/>
          <w:tab w:val="left" w:pos="142"/>
        </w:tabs>
        <w:jc w:val="both"/>
      </w:pPr>
    </w:p>
    <w:p w:rsidR="00D05438" w:rsidRPr="00E00C1C" w:rsidRDefault="00D05438" w:rsidP="004B0CAC">
      <w:pPr>
        <w:pStyle w:val="ListParagraph"/>
        <w:numPr>
          <w:ilvl w:val="0"/>
          <w:numId w:val="28"/>
        </w:numPr>
        <w:jc w:val="both"/>
      </w:pPr>
      <w:r w:rsidRPr="00DD30CD">
        <w:rPr>
          <w:b/>
        </w:rPr>
        <w:t>Naknade za priređivanje igara na sreću</w:t>
      </w:r>
      <w:r w:rsidRPr="00E00C1C">
        <w:t xml:space="preserve"> koje se temeljem Zakona o igrama na sreću obračunavaju i uplaćuju u Državni proračun iznose ukupno </w:t>
      </w:r>
      <w:r>
        <w:t>1</w:t>
      </w:r>
      <w:r w:rsidR="00C67DAC">
        <w:t>46</w:t>
      </w:r>
      <w:r>
        <w:t>,</w:t>
      </w:r>
      <w:r w:rsidR="00C67DAC">
        <w:t>8</w:t>
      </w:r>
      <w:r w:rsidRPr="00E00C1C">
        <w:t xml:space="preserve"> mil. kn, čine </w:t>
      </w:r>
      <w:r>
        <w:t>2</w:t>
      </w:r>
      <w:r w:rsidR="00C67DAC">
        <w:t>5</w:t>
      </w:r>
      <w:r>
        <w:t>,</w:t>
      </w:r>
      <w:r w:rsidR="00C67DAC">
        <w:t>74</w:t>
      </w:r>
      <w:r w:rsidRPr="00E00C1C">
        <w:t xml:space="preserve">% ukupnih planiranih rashoda i veće su za </w:t>
      </w:r>
      <w:r w:rsidR="00C67DAC">
        <w:t>12</w:t>
      </w:r>
      <w:r>
        <w:t>,</w:t>
      </w:r>
      <w:r w:rsidR="00C67DAC">
        <w:t>42</w:t>
      </w:r>
      <w:r w:rsidRPr="00E00C1C">
        <w:t>% u odnosu na procijenjeni iznos naknada za 201</w:t>
      </w:r>
      <w:r w:rsidR="00C67DAC">
        <w:t>8</w:t>
      </w:r>
      <w:r w:rsidRPr="00E00C1C">
        <w:t xml:space="preserve">. godinu. Na visinu naknada za priređivanje igara na sreću </w:t>
      </w:r>
      <w:r w:rsidRPr="00E00C1C">
        <w:lastRenderedPageBreak/>
        <w:t>utječe očekivani rast, odnosno pad prometa i prihoda s kojim su u direktnoj korelaciji.</w:t>
      </w:r>
    </w:p>
    <w:p w:rsidR="00D05438" w:rsidRPr="00CE1088" w:rsidRDefault="00D05438" w:rsidP="00D05438">
      <w:pPr>
        <w:rPr>
          <w:b/>
        </w:rPr>
      </w:pPr>
      <w:r w:rsidRPr="00CE1088">
        <w:rPr>
          <w:b/>
        </w:rPr>
        <w:t>Planom za 201</w:t>
      </w:r>
      <w:r w:rsidR="00C67DAC">
        <w:rPr>
          <w:b/>
        </w:rPr>
        <w:t>9</w:t>
      </w:r>
      <w:r w:rsidRPr="00CE1088">
        <w:rPr>
          <w:b/>
        </w:rPr>
        <w:t>. godinu planirane su sljedeće naknade:</w:t>
      </w:r>
      <w:r w:rsidRPr="00CE1088">
        <w:rPr>
          <w:b/>
        </w:rPr>
        <w:tab/>
      </w:r>
      <w:r w:rsidRPr="00CE1088">
        <w:rPr>
          <w:b/>
        </w:rPr>
        <w:tab/>
      </w:r>
      <w:r w:rsidRPr="00CE1088">
        <w:rPr>
          <w:b/>
        </w:rPr>
        <w:tab/>
        <w:t xml:space="preserve">     </w:t>
      </w:r>
      <w:r w:rsidRPr="00CE1088">
        <w:rPr>
          <w:b/>
        </w:rPr>
        <w:tab/>
        <w:t xml:space="preserve">                  </w:t>
      </w:r>
      <w:r w:rsidRPr="00CE1088">
        <w:rPr>
          <w:b/>
          <w:i/>
        </w:rPr>
        <w:t>u mil. kn</w:t>
      </w:r>
    </w:p>
    <w:p w:rsidR="00D05438" w:rsidRPr="00E00C1C" w:rsidRDefault="00D05438" w:rsidP="00D05438">
      <w:pPr>
        <w:numPr>
          <w:ilvl w:val="0"/>
          <w:numId w:val="32"/>
        </w:numPr>
        <w:spacing w:after="0" w:line="240" w:lineRule="auto"/>
      </w:pPr>
      <w:r w:rsidRPr="00E00C1C">
        <w:t>naknada za priređivanje lutrijskih igara iznosi</w:t>
      </w:r>
      <w:r>
        <w:t xml:space="preserve"> </w:t>
      </w:r>
      <w:r w:rsidRPr="00E00C1C">
        <w:tab/>
      </w:r>
      <w:r w:rsidRPr="00E00C1C">
        <w:tab/>
      </w:r>
      <w:r w:rsidRPr="00E00C1C">
        <w:tab/>
      </w:r>
      <w:r w:rsidRPr="00E00C1C">
        <w:tab/>
      </w:r>
      <w:r w:rsidRPr="00E00C1C">
        <w:tab/>
        <w:t xml:space="preserve">                         </w:t>
      </w:r>
      <w:r w:rsidR="00C67DAC">
        <w:t>7</w:t>
      </w:r>
      <w:r>
        <w:t>8,</w:t>
      </w:r>
      <w:r w:rsidR="00C67DAC">
        <w:t>9</w:t>
      </w:r>
    </w:p>
    <w:p w:rsidR="00D05438" w:rsidRPr="00E00C1C" w:rsidRDefault="00D05438" w:rsidP="00D05438">
      <w:pPr>
        <w:ind w:left="720"/>
      </w:pPr>
      <w:r>
        <w:t xml:space="preserve">i plaća se mjesečno u iznosu </w:t>
      </w:r>
      <w:r w:rsidRPr="00E00C1C">
        <w:t xml:space="preserve">10% od osnovice koju čini ukupna </w:t>
      </w:r>
      <w:r>
        <w:t>v</w:t>
      </w:r>
      <w:r w:rsidRPr="00E00C1C">
        <w:t>rijednost primljenih uplata za pojedinu igru</w:t>
      </w:r>
    </w:p>
    <w:p w:rsidR="00D05438" w:rsidRPr="00E00C1C" w:rsidRDefault="00D05438" w:rsidP="00D05438">
      <w:pPr>
        <w:numPr>
          <w:ilvl w:val="0"/>
          <w:numId w:val="33"/>
        </w:numPr>
        <w:spacing w:after="0" w:line="240" w:lineRule="auto"/>
      </w:pPr>
      <w:r w:rsidRPr="00E00C1C">
        <w:t>mjesečna naknada za  igre klađenja iznosi</w:t>
      </w:r>
      <w:r w:rsidRPr="00E00C1C">
        <w:tab/>
      </w:r>
      <w:r w:rsidRPr="00E00C1C">
        <w:tab/>
      </w:r>
      <w:r w:rsidRPr="00E00C1C">
        <w:tab/>
      </w:r>
      <w:r w:rsidRPr="00E00C1C">
        <w:tab/>
      </w:r>
      <w:r w:rsidRPr="00E00C1C">
        <w:tab/>
      </w:r>
      <w:r w:rsidRPr="00E00C1C">
        <w:tab/>
        <w:t xml:space="preserve">           </w:t>
      </w:r>
      <w:r>
        <w:t>2</w:t>
      </w:r>
      <w:r w:rsidR="00C67DAC">
        <w:t>5</w:t>
      </w:r>
      <w:r>
        <w:t>,</w:t>
      </w:r>
      <w:r w:rsidR="00C67DAC">
        <w:t>7</w:t>
      </w:r>
    </w:p>
    <w:p w:rsidR="00D05438" w:rsidRPr="00E00C1C" w:rsidRDefault="00D05438" w:rsidP="00D05438">
      <w:pPr>
        <w:ind w:left="708"/>
      </w:pPr>
      <w:r w:rsidRPr="00E00C1C">
        <w:t>i plaća se u iznosu  5% od osnovice koju čini ukupni iznos uplate</w:t>
      </w:r>
      <w:r>
        <w:t xml:space="preserve"> </w:t>
      </w:r>
      <w:r w:rsidRPr="00E00C1C">
        <w:t>(uključujući naplaćeni manipulativni trošak)</w:t>
      </w:r>
      <w:r w:rsidRPr="00E00C1C">
        <w:tab/>
      </w:r>
    </w:p>
    <w:p w:rsidR="00D05438" w:rsidRPr="00E00C1C" w:rsidRDefault="00D05438" w:rsidP="00D05438">
      <w:pPr>
        <w:numPr>
          <w:ilvl w:val="0"/>
          <w:numId w:val="34"/>
        </w:numPr>
        <w:spacing w:after="0" w:line="240" w:lineRule="auto"/>
      </w:pPr>
      <w:r w:rsidRPr="00E00C1C">
        <w:t xml:space="preserve">godišnja naknada za igre klađenja </w:t>
      </w:r>
      <w:r>
        <w:t>iznosi</w:t>
      </w:r>
      <w:r>
        <w:tab/>
      </w:r>
      <w:r>
        <w:tab/>
      </w:r>
      <w:r>
        <w:tab/>
      </w:r>
      <w:r>
        <w:tab/>
      </w:r>
      <w:r>
        <w:tab/>
      </w:r>
      <w:r>
        <w:tab/>
      </w:r>
      <w:r w:rsidR="00C67DAC">
        <w:t xml:space="preserve">             </w:t>
      </w:r>
      <w:r w:rsidRPr="00E00C1C">
        <w:t>3,0</w:t>
      </w:r>
    </w:p>
    <w:p w:rsidR="00D05438" w:rsidRPr="00E00C1C" w:rsidRDefault="00D05438" w:rsidP="00D05438">
      <w:pPr>
        <w:ind w:firstLine="709"/>
      </w:pPr>
      <w:r w:rsidRPr="00E00C1C">
        <w:t>(uplatn</w:t>
      </w:r>
      <w:r>
        <w:t>a</w:t>
      </w:r>
      <w:r w:rsidRPr="00E00C1C">
        <w:t xml:space="preserve"> mjesta i Internet)</w:t>
      </w:r>
      <w:r w:rsidRPr="00E00C1C">
        <w:tab/>
      </w:r>
      <w:r w:rsidRPr="00E00C1C">
        <w:tab/>
      </w:r>
      <w:r w:rsidRPr="00E00C1C">
        <w:tab/>
      </w:r>
      <w:r w:rsidRPr="00E00C1C">
        <w:tab/>
      </w:r>
      <w:r w:rsidRPr="00E00C1C">
        <w:tab/>
      </w:r>
      <w:r w:rsidRPr="00E00C1C">
        <w:tab/>
        <w:t xml:space="preserve"> </w:t>
      </w:r>
    </w:p>
    <w:p w:rsidR="00D05438" w:rsidRPr="00E00C1C" w:rsidRDefault="00D05438" w:rsidP="00D05438">
      <w:pPr>
        <w:numPr>
          <w:ilvl w:val="0"/>
          <w:numId w:val="34"/>
        </w:numPr>
        <w:spacing w:after="0" w:line="240" w:lineRule="auto"/>
      </w:pPr>
      <w:r w:rsidRPr="00E00C1C">
        <w:t>naknada za priređivanje igara u casinima i iCasinu iznosi</w:t>
      </w:r>
      <w:r w:rsidRPr="00E00C1C">
        <w:tab/>
      </w:r>
      <w:r w:rsidRPr="00E00C1C">
        <w:tab/>
      </w:r>
      <w:r w:rsidRPr="00E00C1C">
        <w:tab/>
      </w:r>
      <w:r w:rsidRPr="00E00C1C">
        <w:tab/>
        <w:t xml:space="preserve">           </w:t>
      </w:r>
      <w:r>
        <w:t>1</w:t>
      </w:r>
      <w:r w:rsidR="00C67DAC">
        <w:t>6</w:t>
      </w:r>
      <w:r>
        <w:t>,</w:t>
      </w:r>
      <w:r w:rsidR="00C67DAC">
        <w:t>2</w:t>
      </w:r>
    </w:p>
    <w:p w:rsidR="00D05438" w:rsidRDefault="00D05438" w:rsidP="00D05438">
      <w:pPr>
        <w:spacing w:after="0" w:line="240" w:lineRule="auto"/>
        <w:ind w:left="720"/>
      </w:pPr>
      <w:r w:rsidRPr="00E00C1C">
        <w:t>i uplaćuje se mjesečno od prihoda igara u casinima za svaku igru</w:t>
      </w:r>
      <w:r>
        <w:t xml:space="preserve"> </w:t>
      </w:r>
      <w:r w:rsidRPr="00E00C1C">
        <w:t xml:space="preserve">posebno i iznosi </w:t>
      </w:r>
    </w:p>
    <w:p w:rsidR="00D05438" w:rsidRPr="00EF24E9" w:rsidRDefault="00D05438" w:rsidP="00D05438">
      <w:pPr>
        <w:spacing w:after="0" w:line="240" w:lineRule="auto"/>
        <w:ind w:left="720"/>
      </w:pPr>
      <w:r w:rsidRPr="00E00C1C">
        <w:t>15% na osnovicu</w:t>
      </w:r>
      <w:r>
        <w:t xml:space="preserve"> </w:t>
      </w:r>
      <w:r w:rsidRPr="00E00C1C">
        <w:t>koju predstavlja zbroj dnevnih obračuna</w:t>
      </w:r>
      <w:r>
        <w:t xml:space="preserve"> </w:t>
      </w:r>
      <w:r w:rsidRPr="00E00C1C">
        <w:t>svih stolova i svih automata</w:t>
      </w:r>
    </w:p>
    <w:p w:rsidR="00D05438" w:rsidRDefault="00D05438" w:rsidP="00D05438">
      <w:pPr>
        <w:spacing w:after="0" w:line="240" w:lineRule="auto"/>
        <w:ind w:left="720"/>
      </w:pPr>
    </w:p>
    <w:p w:rsidR="00D05438" w:rsidRPr="00E00C1C" w:rsidRDefault="00D05438" w:rsidP="00D05438">
      <w:pPr>
        <w:numPr>
          <w:ilvl w:val="0"/>
          <w:numId w:val="10"/>
        </w:numPr>
        <w:spacing w:after="0" w:line="360" w:lineRule="auto"/>
        <w:ind w:left="714" w:hanging="357"/>
      </w:pPr>
      <w:r w:rsidRPr="00E00C1C">
        <w:t>godišnja naknada za priređivanje casino igara putem</w:t>
      </w:r>
      <w:r>
        <w:t xml:space="preserve"> </w:t>
      </w:r>
      <w:r w:rsidRPr="00E00C1C">
        <w:t>interaktivnih kanala</w:t>
      </w:r>
      <w:r>
        <w:tab/>
      </w:r>
      <w:r>
        <w:tab/>
      </w:r>
      <w:r w:rsidR="00C67DAC">
        <w:t xml:space="preserve">             </w:t>
      </w:r>
      <w:r w:rsidRPr="00E00C1C">
        <w:t>3,0</w:t>
      </w:r>
    </w:p>
    <w:p w:rsidR="00D05438" w:rsidRPr="00E00C1C" w:rsidRDefault="00D05438" w:rsidP="00D05438">
      <w:pPr>
        <w:numPr>
          <w:ilvl w:val="0"/>
          <w:numId w:val="29"/>
        </w:numPr>
        <w:spacing w:after="0" w:line="360" w:lineRule="auto"/>
        <w:ind w:left="714" w:hanging="357"/>
      </w:pPr>
      <w:r w:rsidRPr="00E00C1C">
        <w:t>godišnja naknada za priređivanje igara u casinima iznosi</w:t>
      </w:r>
      <w:r w:rsidRPr="00E00C1C">
        <w:tab/>
      </w:r>
      <w:r w:rsidRPr="00E00C1C">
        <w:tab/>
      </w:r>
      <w:r w:rsidRPr="00E00C1C">
        <w:tab/>
      </w:r>
      <w:r w:rsidRPr="00E00C1C">
        <w:tab/>
        <w:t xml:space="preserve">             0,5 </w:t>
      </w:r>
    </w:p>
    <w:p w:rsidR="00D05438" w:rsidRPr="00E00C1C" w:rsidRDefault="00D05438" w:rsidP="00D05438">
      <w:r w:rsidRPr="00E00C1C">
        <w:tab/>
        <w:t>a plaća se u iznosu od 500.000 kn za svaki casino</w:t>
      </w:r>
    </w:p>
    <w:p w:rsidR="00D05438" w:rsidRPr="00E00C1C" w:rsidRDefault="00D05438" w:rsidP="00D05438">
      <w:pPr>
        <w:numPr>
          <w:ilvl w:val="0"/>
          <w:numId w:val="29"/>
        </w:numPr>
        <w:spacing w:after="0" w:line="240" w:lineRule="auto"/>
      </w:pPr>
      <w:r w:rsidRPr="00E00C1C">
        <w:t>naknada za priređivanje igara na sreću na automatima iznosi</w:t>
      </w:r>
      <w:r w:rsidRPr="00E00C1C">
        <w:tab/>
      </w:r>
      <w:r w:rsidRPr="00E00C1C">
        <w:tab/>
      </w:r>
      <w:r w:rsidRPr="00E00C1C">
        <w:tab/>
      </w:r>
      <w:r w:rsidRPr="00E00C1C">
        <w:tab/>
        <w:t xml:space="preserve">           </w:t>
      </w:r>
      <w:r w:rsidR="00C67DAC">
        <w:t>12</w:t>
      </w:r>
      <w:r>
        <w:t>,8</w:t>
      </w:r>
    </w:p>
    <w:p w:rsidR="00D05438" w:rsidRDefault="00D05438" w:rsidP="00D05438">
      <w:pPr>
        <w:spacing w:after="0" w:line="240" w:lineRule="auto"/>
        <w:ind w:left="720"/>
      </w:pPr>
      <w:r w:rsidRPr="00E00C1C">
        <w:t>i plaća se mjesečno u iznosu 25%, a osnovicu za obračun predstavlja</w:t>
      </w:r>
      <w:r>
        <w:t xml:space="preserve"> </w:t>
      </w:r>
      <w:r w:rsidRPr="00E00C1C">
        <w:t xml:space="preserve">zbroj dnevnih </w:t>
      </w:r>
    </w:p>
    <w:p w:rsidR="00D05438" w:rsidRPr="00E00C1C" w:rsidRDefault="00D05438" w:rsidP="00D05438">
      <w:pPr>
        <w:spacing w:after="0" w:line="360" w:lineRule="auto"/>
        <w:ind w:left="720"/>
      </w:pPr>
      <w:r w:rsidRPr="00E00C1C">
        <w:t>obračuna svih istovrsnih automata za igre na sreću</w:t>
      </w:r>
    </w:p>
    <w:p w:rsidR="00D05438" w:rsidRPr="00E00C1C" w:rsidRDefault="00D05438" w:rsidP="00D05438">
      <w:pPr>
        <w:numPr>
          <w:ilvl w:val="0"/>
          <w:numId w:val="30"/>
        </w:numPr>
        <w:spacing w:after="0" w:line="360" w:lineRule="auto"/>
        <w:ind w:left="714" w:hanging="357"/>
      </w:pPr>
      <w:r w:rsidRPr="00E00C1C">
        <w:t>godišnja naknada (10.000 kn) po automatu iznosi ukupno</w:t>
      </w:r>
      <w:r w:rsidRPr="00E00C1C">
        <w:tab/>
      </w:r>
      <w:r w:rsidRPr="00E00C1C">
        <w:tab/>
      </w:r>
      <w:r w:rsidRPr="00E00C1C">
        <w:tab/>
      </w:r>
      <w:r w:rsidRPr="00E00C1C">
        <w:tab/>
        <w:t xml:space="preserve">             </w:t>
      </w:r>
      <w:r w:rsidR="00C67DAC">
        <w:t>5</w:t>
      </w:r>
      <w:r>
        <w:t>,9</w:t>
      </w:r>
    </w:p>
    <w:p w:rsidR="00D05438" w:rsidRPr="00E00C1C" w:rsidRDefault="00D05438" w:rsidP="00D05438">
      <w:pPr>
        <w:numPr>
          <w:ilvl w:val="0"/>
          <w:numId w:val="31"/>
        </w:numPr>
        <w:spacing w:after="0" w:line="360" w:lineRule="auto"/>
        <w:ind w:left="714" w:hanging="357"/>
      </w:pPr>
      <w:r w:rsidRPr="00E00C1C">
        <w:t xml:space="preserve">godišnja naknada koja se plaća po elektronskom roulettu </w:t>
      </w:r>
    </w:p>
    <w:p w:rsidR="00D05438" w:rsidRPr="00E00C1C" w:rsidRDefault="00D05438" w:rsidP="00D05438">
      <w:r w:rsidRPr="00E00C1C">
        <w:tab/>
        <w:t xml:space="preserve">(do </w:t>
      </w:r>
      <w:r>
        <w:t>6</w:t>
      </w:r>
      <w:r w:rsidRPr="00E00C1C">
        <w:t xml:space="preserve"> igraćih mjesta - po 40.000 kn, iznad </w:t>
      </w:r>
      <w:r>
        <w:t xml:space="preserve">6 </w:t>
      </w:r>
      <w:r w:rsidRPr="00E00C1C">
        <w:t>igraćih mjesta - po 50.000 kn) iznosi ukupno</w:t>
      </w:r>
      <w:r w:rsidR="00C67DAC">
        <w:t xml:space="preserve">             </w:t>
      </w:r>
      <w:r>
        <w:t>0,</w:t>
      </w:r>
      <w:r w:rsidR="00C67DAC">
        <w:t>6</w:t>
      </w:r>
      <w:r w:rsidRPr="00E00C1C">
        <w:t xml:space="preserve">             </w:t>
      </w:r>
    </w:p>
    <w:p w:rsidR="00D05438" w:rsidRPr="00EF24E9" w:rsidRDefault="00D05438" w:rsidP="00D05438">
      <w:pPr>
        <w:numPr>
          <w:ilvl w:val="0"/>
          <w:numId w:val="34"/>
        </w:numPr>
        <w:spacing w:after="0" w:line="240" w:lineRule="auto"/>
      </w:pPr>
      <w:r w:rsidRPr="00EF24E9">
        <w:t>naknade za plombiranje ukupno iznose</w:t>
      </w:r>
      <w:r>
        <w:tab/>
      </w:r>
      <w:r>
        <w:tab/>
      </w:r>
      <w:r w:rsidRPr="00EF24E9">
        <w:tab/>
      </w:r>
      <w:r w:rsidRPr="00EF24E9">
        <w:tab/>
      </w:r>
      <w:r w:rsidRPr="00EF24E9">
        <w:tab/>
      </w:r>
      <w:r w:rsidRPr="00EF24E9">
        <w:tab/>
      </w:r>
      <w:r w:rsidR="00C67DAC">
        <w:t xml:space="preserve">                           </w:t>
      </w:r>
      <w:r w:rsidRPr="00EF24E9">
        <w:t xml:space="preserve">0,2             </w:t>
      </w:r>
    </w:p>
    <w:p w:rsidR="00D05438" w:rsidRDefault="00D05438" w:rsidP="00D05438">
      <w:pPr>
        <w:spacing w:after="0" w:line="240" w:lineRule="auto"/>
        <w:ind w:left="360" w:firstLine="348"/>
      </w:pPr>
      <w:r w:rsidRPr="00EF24E9">
        <w:lastRenderedPageBreak/>
        <w:t>a propisano je da se po svakom plombiranju programske ploče automata</w:t>
      </w:r>
      <w:r>
        <w:t xml:space="preserve"> </w:t>
      </w:r>
      <w:r w:rsidRPr="00EF24E9">
        <w:t xml:space="preserve">za igre na sreću </w:t>
      </w:r>
    </w:p>
    <w:p w:rsidR="00D05438" w:rsidRPr="00EF24E9" w:rsidRDefault="00D05438" w:rsidP="00D05438">
      <w:pPr>
        <w:spacing w:after="0" w:line="240" w:lineRule="auto"/>
        <w:ind w:left="360" w:firstLine="348"/>
      </w:pPr>
      <w:r w:rsidRPr="00EF24E9">
        <w:t>plaća naknada u iznosu od 300 kn.</w:t>
      </w:r>
    </w:p>
    <w:p w:rsidR="00D05438" w:rsidRDefault="00D05438" w:rsidP="009A368B">
      <w:pPr>
        <w:tabs>
          <w:tab w:val="left" w:pos="142"/>
        </w:tabs>
        <w:ind w:left="142"/>
        <w:jc w:val="both"/>
      </w:pPr>
    </w:p>
    <w:p w:rsidR="00711AE4" w:rsidRDefault="00711AE4" w:rsidP="009A368B">
      <w:pPr>
        <w:tabs>
          <w:tab w:val="left" w:pos="142"/>
        </w:tabs>
        <w:ind w:left="142"/>
        <w:jc w:val="both"/>
      </w:pPr>
    </w:p>
    <w:p w:rsidR="00711AE4" w:rsidRDefault="00711AE4" w:rsidP="007A136F">
      <w:pPr>
        <w:pStyle w:val="Heading1"/>
        <w:numPr>
          <w:ilvl w:val="1"/>
          <w:numId w:val="38"/>
        </w:numPr>
        <w:jc w:val="both"/>
        <w:rPr>
          <w:rFonts w:ascii="Calibri" w:hAnsi="Calibri" w:cs="Calibri"/>
          <w:sz w:val="28"/>
          <w:szCs w:val="28"/>
        </w:rPr>
      </w:pPr>
      <w:bookmarkStart w:id="40" w:name="_Toc433472824"/>
      <w:bookmarkStart w:id="41" w:name="_Toc433472899"/>
      <w:bookmarkStart w:id="42" w:name="_Toc469921248"/>
      <w:bookmarkStart w:id="43" w:name="_Toc501009103"/>
      <w:bookmarkStart w:id="44" w:name="_Toc532299633"/>
      <w:r w:rsidRPr="00DD30CD">
        <w:rPr>
          <w:rFonts w:ascii="Calibri" w:hAnsi="Calibri" w:cs="Calibri"/>
          <w:sz w:val="28"/>
          <w:szCs w:val="28"/>
        </w:rPr>
        <w:t xml:space="preserve">Plan </w:t>
      </w:r>
      <w:r>
        <w:rPr>
          <w:rFonts w:ascii="Calibri" w:hAnsi="Calibri" w:cs="Calibri"/>
          <w:sz w:val="28"/>
          <w:szCs w:val="28"/>
        </w:rPr>
        <w:t>zaposlenika</w:t>
      </w:r>
      <w:r w:rsidRPr="00DD30CD">
        <w:rPr>
          <w:rFonts w:ascii="Calibri" w:hAnsi="Calibri" w:cs="Calibri"/>
          <w:sz w:val="28"/>
          <w:szCs w:val="28"/>
        </w:rPr>
        <w:t xml:space="preserve"> i politika plaća</w:t>
      </w:r>
      <w:bookmarkEnd w:id="40"/>
      <w:bookmarkEnd w:id="41"/>
      <w:bookmarkEnd w:id="42"/>
      <w:bookmarkEnd w:id="43"/>
      <w:bookmarkEnd w:id="44"/>
    </w:p>
    <w:p w:rsidR="00813033" w:rsidRDefault="00813033" w:rsidP="00813033"/>
    <w:p w:rsidR="00E30D45" w:rsidRDefault="00E30D45" w:rsidP="00E30D45">
      <w:pPr>
        <w:jc w:val="both"/>
      </w:pPr>
      <w:r>
        <w:t>Procijenjeni broj zaposlenih u Hrvatskoj Lutriji na dan 31.12.2018. god. je 1385 zaposlenika, dok se planom zaposlenika za 2019. god</w:t>
      </w:r>
      <w:r w:rsidR="00A7030B">
        <w:t>inu predviđa   ukupan broj od 1</w:t>
      </w:r>
      <w:r>
        <w:t>524 zaposlenih.</w:t>
      </w:r>
    </w:p>
    <w:p w:rsidR="00E30D45" w:rsidRDefault="00E30D45" w:rsidP="00E30D45">
      <w:pPr>
        <w:jc w:val="both"/>
      </w:pPr>
      <w:r>
        <w:t>Hrvatska Lutrija je za  2019. godinu razradila detaljan plan aktivnosti na  upravljanju ljudskim resursima. Planira se povećanje broja zaposlenih u okviru novih razvojnih programa predviđenih strateškim inicijativama sukladno Strategiji za naredno petogodišnje razdoblje od 2019. do 2022. godine. Uvođenjem novih tehnologija, razvijanjem digitalnih kanala uplata naših igara, zahtjeva educiranje postojećih kadrova, kao i zapošljavanje visokoobrazovanih mladih kadrova. Nadalje, planira se proširenje prodajne mreže, te otvaranje novih automat klubova, a što će dovesti do povećanja broja zaposlenih u 2019. god. Definirane su potrebe za odgovarajućim profilom zaposlenika uglavnom visoke razine stručnosti.</w:t>
      </w:r>
    </w:p>
    <w:p w:rsidR="00E30D45" w:rsidRDefault="00E30D45" w:rsidP="00E30D45">
      <w:pPr>
        <w:jc w:val="both"/>
      </w:pPr>
      <w:r>
        <w:t>Tijekom 2017. godine Hrvatska Lutrija je započela s programima zbrinjavanja radnika starije životne dobi koji imaju zdravstvenih poteškoća ili koji su iskazali želju za odlaskom u mirovinu. Planom za 2019. godinu nastavlja se trend pomlađivanja zaposlenika, te se za tu namjenu rezerviralo 7 milijuna kuna. Planirani prestanci radnih odnosa u postupku zbrinjavanja kolektivnog viška radnika uglavnom se odnose na niže kvalificirane radnike, tako da u tom segmentu nema značajnijih ušteda. Navedenim zapošljavanjima visokoobrazovanih radnika postići će se kvalitetnija kvalifikacijska struktura i viša razina kompetencija zaposlenih, a time i veća mogućnost ostvarenja planiranih ciljeva. </w:t>
      </w:r>
    </w:p>
    <w:p w:rsidR="00E30D45" w:rsidRDefault="00E30D45" w:rsidP="00E30D45">
      <w:pPr>
        <w:jc w:val="both"/>
      </w:pPr>
      <w:r>
        <w:t>Potrebe za zapošljavanjima uz predviđeni odljev radnika sistematizirane su u nastavku:</w:t>
      </w:r>
    </w:p>
    <w:p w:rsidR="00E30D45" w:rsidRPr="00467E23" w:rsidRDefault="00E30D45" w:rsidP="00E30D45">
      <w:pPr>
        <w:jc w:val="both"/>
        <w:rPr>
          <w:rFonts w:cs="Arial"/>
        </w:rPr>
      </w:pPr>
    </w:p>
    <w:p w:rsidR="00E30D45" w:rsidRDefault="00E30D45" w:rsidP="00813033"/>
    <w:tbl>
      <w:tblPr>
        <w:tblW w:w="9639" w:type="dxa"/>
        <w:tblLook w:val="04A0" w:firstRow="1" w:lastRow="0" w:firstColumn="1" w:lastColumn="0" w:noHBand="0" w:noVBand="1"/>
      </w:tblPr>
      <w:tblGrid>
        <w:gridCol w:w="700"/>
        <w:gridCol w:w="3962"/>
        <w:gridCol w:w="1289"/>
        <w:gridCol w:w="1423"/>
        <w:gridCol w:w="1077"/>
        <w:gridCol w:w="1188"/>
      </w:tblGrid>
      <w:tr w:rsidR="00124BC0" w:rsidRPr="00124BC0" w:rsidTr="00124BC0">
        <w:trPr>
          <w:trHeight w:val="315"/>
        </w:trPr>
        <w:tc>
          <w:tcPr>
            <w:tcW w:w="701" w:type="dxa"/>
            <w:vMerge w:val="restart"/>
            <w:tcBorders>
              <w:top w:val="single" w:sz="18" w:space="0" w:color="CCFF66"/>
              <w:left w:val="nil"/>
              <w:bottom w:val="single" w:sz="12" w:space="0" w:color="CCFF66"/>
              <w:right w:val="nil"/>
            </w:tcBorders>
            <w:shd w:val="clear" w:color="000000" w:fill="FFFFFF"/>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Red. br.</w:t>
            </w:r>
          </w:p>
        </w:tc>
        <w:tc>
          <w:tcPr>
            <w:tcW w:w="3964" w:type="dxa"/>
            <w:vMerge w:val="restart"/>
            <w:tcBorders>
              <w:top w:val="single" w:sz="18" w:space="0" w:color="CCFF66"/>
              <w:left w:val="nil"/>
              <w:bottom w:val="single" w:sz="12" w:space="0" w:color="CCFF66"/>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Organizacijska jedinica</w:t>
            </w:r>
          </w:p>
        </w:tc>
        <w:tc>
          <w:tcPr>
            <w:tcW w:w="1289" w:type="dxa"/>
            <w:tcBorders>
              <w:top w:val="single" w:sz="18" w:space="0" w:color="CCFF66"/>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Procjena</w:t>
            </w:r>
          </w:p>
        </w:tc>
        <w:tc>
          <w:tcPr>
            <w:tcW w:w="1423" w:type="dxa"/>
            <w:tcBorders>
              <w:top w:val="single" w:sz="18" w:space="0" w:color="CCFF66"/>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Novo</w:t>
            </w:r>
          </w:p>
        </w:tc>
        <w:tc>
          <w:tcPr>
            <w:tcW w:w="1077" w:type="dxa"/>
            <w:vMerge w:val="restart"/>
            <w:tcBorders>
              <w:top w:val="single" w:sz="18" w:space="0" w:color="CCFF66"/>
              <w:left w:val="nil"/>
              <w:bottom w:val="single" w:sz="12" w:space="0" w:color="CCFF66"/>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Odlazak</w:t>
            </w:r>
          </w:p>
        </w:tc>
        <w:tc>
          <w:tcPr>
            <w:tcW w:w="1185" w:type="dxa"/>
            <w:tcBorders>
              <w:top w:val="single" w:sz="18" w:space="0" w:color="CCFF66"/>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Plan</w:t>
            </w:r>
          </w:p>
        </w:tc>
      </w:tr>
      <w:tr w:rsidR="00124BC0" w:rsidRPr="00124BC0" w:rsidTr="00124BC0">
        <w:trPr>
          <w:trHeight w:val="315"/>
        </w:trPr>
        <w:tc>
          <w:tcPr>
            <w:tcW w:w="701" w:type="dxa"/>
            <w:vMerge/>
            <w:tcBorders>
              <w:top w:val="single" w:sz="12" w:space="0" w:color="CCFF66"/>
              <w:left w:val="nil"/>
              <w:bottom w:val="single" w:sz="18" w:space="0" w:color="CCFF66"/>
              <w:right w:val="nil"/>
            </w:tcBorders>
            <w:vAlign w:val="center"/>
            <w:hideMark/>
          </w:tcPr>
          <w:p w:rsidR="00124BC0" w:rsidRPr="00124BC0" w:rsidRDefault="00124BC0" w:rsidP="00124BC0">
            <w:pPr>
              <w:spacing w:after="0" w:line="240" w:lineRule="auto"/>
              <w:rPr>
                <w:rFonts w:cs="Calibri"/>
                <w:b/>
                <w:bCs/>
                <w:color w:val="000000"/>
                <w:sz w:val="20"/>
                <w:szCs w:val="20"/>
              </w:rPr>
            </w:pPr>
          </w:p>
        </w:tc>
        <w:tc>
          <w:tcPr>
            <w:tcW w:w="3964" w:type="dxa"/>
            <w:vMerge/>
            <w:tcBorders>
              <w:top w:val="single" w:sz="12" w:space="0" w:color="CCFF66"/>
              <w:left w:val="nil"/>
              <w:bottom w:val="single" w:sz="18" w:space="0" w:color="CCFF66"/>
              <w:right w:val="nil"/>
            </w:tcBorders>
            <w:vAlign w:val="center"/>
            <w:hideMark/>
          </w:tcPr>
          <w:p w:rsidR="00124BC0" w:rsidRPr="00124BC0" w:rsidRDefault="00124BC0" w:rsidP="00124BC0">
            <w:pPr>
              <w:spacing w:after="0" w:line="240" w:lineRule="auto"/>
              <w:rPr>
                <w:rFonts w:cs="Calibri"/>
                <w:b/>
                <w:bCs/>
                <w:color w:val="000000"/>
                <w:sz w:val="20"/>
                <w:szCs w:val="20"/>
              </w:rPr>
            </w:pPr>
          </w:p>
        </w:tc>
        <w:tc>
          <w:tcPr>
            <w:tcW w:w="1289" w:type="dxa"/>
            <w:tcBorders>
              <w:top w:val="nil"/>
              <w:left w:val="nil"/>
              <w:bottom w:val="single" w:sz="18" w:space="0" w:color="CCFF66"/>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31.12.2018.</w:t>
            </w:r>
          </w:p>
        </w:tc>
        <w:tc>
          <w:tcPr>
            <w:tcW w:w="1423" w:type="dxa"/>
            <w:tcBorders>
              <w:top w:val="nil"/>
              <w:left w:val="nil"/>
              <w:bottom w:val="single" w:sz="18" w:space="0" w:color="CCFF66"/>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zapošljavanje</w:t>
            </w:r>
          </w:p>
        </w:tc>
        <w:tc>
          <w:tcPr>
            <w:tcW w:w="1077" w:type="dxa"/>
            <w:vMerge/>
            <w:tcBorders>
              <w:top w:val="single" w:sz="12" w:space="0" w:color="CCFF66"/>
              <w:left w:val="nil"/>
              <w:bottom w:val="single" w:sz="18" w:space="0" w:color="CCFF66"/>
              <w:right w:val="nil"/>
            </w:tcBorders>
            <w:vAlign w:val="center"/>
            <w:hideMark/>
          </w:tcPr>
          <w:p w:rsidR="00124BC0" w:rsidRPr="00124BC0" w:rsidRDefault="00124BC0" w:rsidP="00124BC0">
            <w:pPr>
              <w:spacing w:after="0" w:line="240" w:lineRule="auto"/>
              <w:rPr>
                <w:rFonts w:cs="Calibri"/>
                <w:b/>
                <w:bCs/>
                <w:color w:val="000000"/>
                <w:sz w:val="20"/>
                <w:szCs w:val="20"/>
              </w:rPr>
            </w:pPr>
          </w:p>
        </w:tc>
        <w:tc>
          <w:tcPr>
            <w:tcW w:w="1185" w:type="dxa"/>
            <w:tcBorders>
              <w:top w:val="nil"/>
              <w:left w:val="nil"/>
              <w:bottom w:val="single" w:sz="18" w:space="0" w:color="CCFF66"/>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31.12.2019.</w:t>
            </w:r>
          </w:p>
        </w:tc>
      </w:tr>
      <w:tr w:rsidR="00124BC0" w:rsidRPr="00124BC0" w:rsidTr="00124BC0">
        <w:trPr>
          <w:trHeight w:val="315"/>
        </w:trPr>
        <w:tc>
          <w:tcPr>
            <w:tcW w:w="701" w:type="dxa"/>
            <w:tcBorders>
              <w:top w:val="single" w:sz="18" w:space="0" w:color="CCFF66"/>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1</w:t>
            </w:r>
          </w:p>
        </w:tc>
        <w:tc>
          <w:tcPr>
            <w:tcW w:w="3964" w:type="dxa"/>
            <w:tcBorders>
              <w:top w:val="single" w:sz="18" w:space="0" w:color="CCFF66"/>
              <w:left w:val="nil"/>
              <w:bottom w:val="nil"/>
              <w:right w:val="nil"/>
            </w:tcBorders>
            <w:shd w:val="clear" w:color="000000" w:fill="FFFFFF"/>
            <w:noWrap/>
            <w:vAlign w:val="center"/>
            <w:hideMark/>
          </w:tcPr>
          <w:p w:rsidR="00124BC0" w:rsidRPr="00124BC0" w:rsidRDefault="00124BC0" w:rsidP="00124BC0">
            <w:pPr>
              <w:spacing w:after="0" w:line="240" w:lineRule="auto"/>
              <w:rPr>
                <w:rFonts w:cs="Calibri"/>
                <w:color w:val="000000"/>
                <w:sz w:val="20"/>
                <w:szCs w:val="20"/>
              </w:rPr>
            </w:pPr>
            <w:r w:rsidRPr="00124BC0">
              <w:rPr>
                <w:rFonts w:cs="Calibri"/>
                <w:color w:val="000000"/>
                <w:sz w:val="20"/>
                <w:szCs w:val="20"/>
              </w:rPr>
              <w:t>Uprava i Tajništvo Uprave</w:t>
            </w:r>
          </w:p>
        </w:tc>
        <w:tc>
          <w:tcPr>
            <w:tcW w:w="1289" w:type="dxa"/>
            <w:tcBorders>
              <w:top w:val="single" w:sz="18" w:space="0" w:color="CCFF66"/>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17</w:t>
            </w:r>
          </w:p>
        </w:tc>
        <w:tc>
          <w:tcPr>
            <w:tcW w:w="1423" w:type="dxa"/>
            <w:tcBorders>
              <w:top w:val="single" w:sz="18" w:space="0" w:color="CCFF66"/>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0</w:t>
            </w:r>
          </w:p>
        </w:tc>
        <w:tc>
          <w:tcPr>
            <w:tcW w:w="1077" w:type="dxa"/>
            <w:tcBorders>
              <w:top w:val="single" w:sz="18" w:space="0" w:color="CCFF66"/>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0</w:t>
            </w:r>
          </w:p>
        </w:tc>
        <w:tc>
          <w:tcPr>
            <w:tcW w:w="1185" w:type="dxa"/>
            <w:tcBorders>
              <w:top w:val="single" w:sz="18" w:space="0" w:color="CCFF66"/>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17</w:t>
            </w:r>
          </w:p>
        </w:tc>
      </w:tr>
      <w:tr w:rsidR="00124BC0" w:rsidRPr="00124BC0" w:rsidTr="00124BC0">
        <w:trPr>
          <w:trHeight w:val="300"/>
        </w:trPr>
        <w:tc>
          <w:tcPr>
            <w:tcW w:w="701"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2</w:t>
            </w:r>
          </w:p>
        </w:tc>
        <w:tc>
          <w:tcPr>
            <w:tcW w:w="3964"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rPr>
                <w:rFonts w:cs="Calibri"/>
                <w:color w:val="000000"/>
                <w:sz w:val="20"/>
                <w:szCs w:val="20"/>
              </w:rPr>
            </w:pPr>
            <w:r w:rsidRPr="00124BC0">
              <w:rPr>
                <w:rFonts w:cs="Calibri"/>
                <w:color w:val="000000"/>
                <w:sz w:val="20"/>
                <w:szCs w:val="20"/>
              </w:rPr>
              <w:t>Sektor prodaje</w:t>
            </w:r>
          </w:p>
        </w:tc>
        <w:tc>
          <w:tcPr>
            <w:tcW w:w="1289"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1069</w:t>
            </w:r>
          </w:p>
        </w:tc>
        <w:tc>
          <w:tcPr>
            <w:tcW w:w="1423"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120</w:t>
            </w:r>
          </w:p>
        </w:tc>
        <w:tc>
          <w:tcPr>
            <w:tcW w:w="1077"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25</w:t>
            </w:r>
          </w:p>
        </w:tc>
        <w:tc>
          <w:tcPr>
            <w:tcW w:w="1185"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1164</w:t>
            </w:r>
          </w:p>
        </w:tc>
      </w:tr>
      <w:tr w:rsidR="00124BC0" w:rsidRPr="00124BC0" w:rsidTr="00124BC0">
        <w:trPr>
          <w:trHeight w:val="300"/>
        </w:trPr>
        <w:tc>
          <w:tcPr>
            <w:tcW w:w="701"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3</w:t>
            </w:r>
          </w:p>
        </w:tc>
        <w:tc>
          <w:tcPr>
            <w:tcW w:w="3964"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rPr>
                <w:rFonts w:cs="Calibri"/>
                <w:color w:val="000000"/>
                <w:sz w:val="20"/>
                <w:szCs w:val="20"/>
              </w:rPr>
            </w:pPr>
            <w:r w:rsidRPr="00124BC0">
              <w:rPr>
                <w:rFonts w:cs="Calibri"/>
                <w:color w:val="000000"/>
                <w:sz w:val="20"/>
                <w:szCs w:val="20"/>
              </w:rPr>
              <w:t>Sektor pripreme i razvoja igara</w:t>
            </w:r>
          </w:p>
        </w:tc>
        <w:tc>
          <w:tcPr>
            <w:tcW w:w="1289"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70</w:t>
            </w:r>
          </w:p>
        </w:tc>
        <w:tc>
          <w:tcPr>
            <w:tcW w:w="1423"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13</w:t>
            </w:r>
          </w:p>
        </w:tc>
        <w:tc>
          <w:tcPr>
            <w:tcW w:w="1077"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2</w:t>
            </w:r>
          </w:p>
        </w:tc>
        <w:tc>
          <w:tcPr>
            <w:tcW w:w="1185"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81</w:t>
            </w:r>
          </w:p>
        </w:tc>
      </w:tr>
      <w:tr w:rsidR="00124BC0" w:rsidRPr="00124BC0" w:rsidTr="00124BC0">
        <w:trPr>
          <w:trHeight w:val="300"/>
        </w:trPr>
        <w:tc>
          <w:tcPr>
            <w:tcW w:w="701"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4</w:t>
            </w:r>
          </w:p>
        </w:tc>
        <w:tc>
          <w:tcPr>
            <w:tcW w:w="3964"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rPr>
                <w:rFonts w:cs="Calibri"/>
                <w:color w:val="000000"/>
                <w:sz w:val="20"/>
                <w:szCs w:val="20"/>
              </w:rPr>
            </w:pPr>
            <w:r>
              <w:rPr>
                <w:rFonts w:cs="Calibri"/>
                <w:color w:val="000000"/>
                <w:sz w:val="20"/>
                <w:szCs w:val="20"/>
              </w:rPr>
              <w:t>Sektor</w:t>
            </w:r>
            <w:r w:rsidRPr="00124BC0">
              <w:rPr>
                <w:rFonts w:cs="Calibri"/>
                <w:color w:val="000000"/>
                <w:sz w:val="20"/>
                <w:szCs w:val="20"/>
              </w:rPr>
              <w:t xml:space="preserve"> razvoja poslovanja</w:t>
            </w:r>
          </w:p>
        </w:tc>
        <w:tc>
          <w:tcPr>
            <w:tcW w:w="1289"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46</w:t>
            </w:r>
          </w:p>
        </w:tc>
        <w:tc>
          <w:tcPr>
            <w:tcW w:w="1423"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12</w:t>
            </w:r>
          </w:p>
        </w:tc>
        <w:tc>
          <w:tcPr>
            <w:tcW w:w="1077"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0</w:t>
            </w:r>
          </w:p>
        </w:tc>
        <w:tc>
          <w:tcPr>
            <w:tcW w:w="1185"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58</w:t>
            </w:r>
          </w:p>
        </w:tc>
      </w:tr>
      <w:tr w:rsidR="00124BC0" w:rsidRPr="00124BC0" w:rsidTr="00124BC0">
        <w:trPr>
          <w:trHeight w:val="300"/>
        </w:trPr>
        <w:tc>
          <w:tcPr>
            <w:tcW w:w="701"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5</w:t>
            </w:r>
          </w:p>
        </w:tc>
        <w:tc>
          <w:tcPr>
            <w:tcW w:w="3964"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rPr>
                <w:rFonts w:cs="Calibri"/>
                <w:color w:val="000000"/>
                <w:sz w:val="20"/>
                <w:szCs w:val="20"/>
              </w:rPr>
            </w:pPr>
            <w:r w:rsidRPr="00124BC0">
              <w:rPr>
                <w:rFonts w:cs="Calibri"/>
                <w:color w:val="000000"/>
                <w:sz w:val="20"/>
                <w:szCs w:val="20"/>
              </w:rPr>
              <w:t>Sektor financija i zajedničkih poslova</w:t>
            </w:r>
          </w:p>
        </w:tc>
        <w:tc>
          <w:tcPr>
            <w:tcW w:w="1289"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52</w:t>
            </w:r>
          </w:p>
        </w:tc>
        <w:tc>
          <w:tcPr>
            <w:tcW w:w="1423"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3</w:t>
            </w:r>
          </w:p>
        </w:tc>
        <w:tc>
          <w:tcPr>
            <w:tcW w:w="1077"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0</w:t>
            </w:r>
          </w:p>
        </w:tc>
        <w:tc>
          <w:tcPr>
            <w:tcW w:w="1185"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55</w:t>
            </w:r>
          </w:p>
        </w:tc>
      </w:tr>
      <w:tr w:rsidR="00124BC0" w:rsidRPr="00124BC0" w:rsidTr="00124BC0">
        <w:trPr>
          <w:trHeight w:val="300"/>
        </w:trPr>
        <w:tc>
          <w:tcPr>
            <w:tcW w:w="701"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6</w:t>
            </w:r>
          </w:p>
        </w:tc>
        <w:tc>
          <w:tcPr>
            <w:tcW w:w="3964"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rPr>
                <w:rFonts w:cs="Calibri"/>
                <w:color w:val="000000"/>
                <w:sz w:val="20"/>
                <w:szCs w:val="20"/>
              </w:rPr>
            </w:pPr>
            <w:r w:rsidRPr="00124BC0">
              <w:rPr>
                <w:rFonts w:cs="Calibri"/>
                <w:color w:val="000000"/>
                <w:sz w:val="20"/>
                <w:szCs w:val="20"/>
              </w:rPr>
              <w:t>Sektor logistike</w:t>
            </w:r>
          </w:p>
        </w:tc>
        <w:tc>
          <w:tcPr>
            <w:tcW w:w="1289"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79</w:t>
            </w:r>
          </w:p>
        </w:tc>
        <w:tc>
          <w:tcPr>
            <w:tcW w:w="1423"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11</w:t>
            </w:r>
          </w:p>
        </w:tc>
        <w:tc>
          <w:tcPr>
            <w:tcW w:w="1077"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3</w:t>
            </w:r>
          </w:p>
        </w:tc>
        <w:tc>
          <w:tcPr>
            <w:tcW w:w="1185"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87</w:t>
            </w:r>
          </w:p>
        </w:tc>
      </w:tr>
      <w:tr w:rsidR="00124BC0" w:rsidRPr="00124BC0" w:rsidTr="00124BC0">
        <w:trPr>
          <w:trHeight w:val="300"/>
        </w:trPr>
        <w:tc>
          <w:tcPr>
            <w:tcW w:w="701"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7</w:t>
            </w:r>
          </w:p>
        </w:tc>
        <w:tc>
          <w:tcPr>
            <w:tcW w:w="3964"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rPr>
                <w:rFonts w:cs="Calibri"/>
                <w:color w:val="000000"/>
                <w:sz w:val="20"/>
                <w:szCs w:val="20"/>
              </w:rPr>
            </w:pPr>
            <w:r w:rsidRPr="00124BC0">
              <w:rPr>
                <w:rFonts w:cs="Calibri"/>
                <w:color w:val="000000"/>
                <w:sz w:val="20"/>
                <w:szCs w:val="20"/>
              </w:rPr>
              <w:t>Ured za strategiju, sigurnost i digitalizaciju</w:t>
            </w:r>
          </w:p>
        </w:tc>
        <w:tc>
          <w:tcPr>
            <w:tcW w:w="1289"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39</w:t>
            </w:r>
          </w:p>
        </w:tc>
        <w:tc>
          <w:tcPr>
            <w:tcW w:w="1423"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7</w:t>
            </w:r>
          </w:p>
        </w:tc>
        <w:tc>
          <w:tcPr>
            <w:tcW w:w="1077"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0</w:t>
            </w:r>
          </w:p>
        </w:tc>
        <w:tc>
          <w:tcPr>
            <w:tcW w:w="1185"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46</w:t>
            </w:r>
          </w:p>
        </w:tc>
      </w:tr>
      <w:tr w:rsidR="00124BC0" w:rsidRPr="00124BC0" w:rsidTr="00124BC0">
        <w:trPr>
          <w:trHeight w:val="300"/>
        </w:trPr>
        <w:tc>
          <w:tcPr>
            <w:tcW w:w="701"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8</w:t>
            </w:r>
          </w:p>
        </w:tc>
        <w:tc>
          <w:tcPr>
            <w:tcW w:w="3964"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rPr>
                <w:rFonts w:cs="Calibri"/>
                <w:color w:val="000000"/>
                <w:sz w:val="20"/>
                <w:szCs w:val="20"/>
              </w:rPr>
            </w:pPr>
            <w:r w:rsidRPr="00124BC0">
              <w:rPr>
                <w:rFonts w:cs="Calibri"/>
                <w:color w:val="000000"/>
                <w:sz w:val="20"/>
                <w:szCs w:val="20"/>
              </w:rPr>
              <w:t>Služba korporativnih komunikacija</w:t>
            </w:r>
          </w:p>
        </w:tc>
        <w:tc>
          <w:tcPr>
            <w:tcW w:w="1289"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5</w:t>
            </w:r>
          </w:p>
        </w:tc>
        <w:tc>
          <w:tcPr>
            <w:tcW w:w="1423"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w:t>
            </w:r>
          </w:p>
        </w:tc>
        <w:tc>
          <w:tcPr>
            <w:tcW w:w="1077"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0</w:t>
            </w:r>
          </w:p>
        </w:tc>
        <w:tc>
          <w:tcPr>
            <w:tcW w:w="1185" w:type="dxa"/>
            <w:tcBorders>
              <w:top w:val="nil"/>
              <w:left w:val="nil"/>
              <w:bottom w:val="nil"/>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6</w:t>
            </w:r>
          </w:p>
        </w:tc>
      </w:tr>
      <w:tr w:rsidR="00124BC0" w:rsidRPr="00124BC0" w:rsidTr="00124BC0">
        <w:trPr>
          <w:trHeight w:val="300"/>
        </w:trPr>
        <w:tc>
          <w:tcPr>
            <w:tcW w:w="701" w:type="dxa"/>
            <w:tcBorders>
              <w:top w:val="nil"/>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9</w:t>
            </w:r>
          </w:p>
        </w:tc>
        <w:tc>
          <w:tcPr>
            <w:tcW w:w="3964" w:type="dxa"/>
            <w:tcBorders>
              <w:top w:val="nil"/>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rPr>
                <w:rFonts w:cs="Calibri"/>
                <w:color w:val="000000"/>
                <w:sz w:val="20"/>
                <w:szCs w:val="20"/>
              </w:rPr>
            </w:pPr>
            <w:r w:rsidRPr="00124BC0">
              <w:rPr>
                <w:rFonts w:cs="Calibri"/>
                <w:color w:val="000000"/>
                <w:sz w:val="20"/>
                <w:szCs w:val="20"/>
              </w:rPr>
              <w:t>Služba kontrolinga</w:t>
            </w:r>
          </w:p>
        </w:tc>
        <w:tc>
          <w:tcPr>
            <w:tcW w:w="1289" w:type="dxa"/>
            <w:tcBorders>
              <w:top w:val="nil"/>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8</w:t>
            </w:r>
          </w:p>
        </w:tc>
        <w:tc>
          <w:tcPr>
            <w:tcW w:w="1423" w:type="dxa"/>
            <w:tcBorders>
              <w:top w:val="nil"/>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2</w:t>
            </w:r>
          </w:p>
        </w:tc>
        <w:tc>
          <w:tcPr>
            <w:tcW w:w="1077" w:type="dxa"/>
            <w:tcBorders>
              <w:top w:val="nil"/>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0</w:t>
            </w:r>
          </w:p>
        </w:tc>
        <w:tc>
          <w:tcPr>
            <w:tcW w:w="1185" w:type="dxa"/>
            <w:tcBorders>
              <w:top w:val="nil"/>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jc w:val="center"/>
              <w:rPr>
                <w:rFonts w:cs="Calibri"/>
                <w:color w:val="000000"/>
                <w:sz w:val="20"/>
                <w:szCs w:val="20"/>
              </w:rPr>
            </w:pPr>
            <w:r w:rsidRPr="00124BC0">
              <w:rPr>
                <w:rFonts w:cs="Calibri"/>
                <w:color w:val="000000"/>
                <w:sz w:val="20"/>
                <w:szCs w:val="20"/>
              </w:rPr>
              <w:t>10</w:t>
            </w:r>
          </w:p>
        </w:tc>
      </w:tr>
      <w:tr w:rsidR="00124BC0" w:rsidRPr="00124BC0" w:rsidTr="00124BC0">
        <w:trPr>
          <w:trHeight w:val="315"/>
        </w:trPr>
        <w:tc>
          <w:tcPr>
            <w:tcW w:w="701" w:type="dxa"/>
            <w:tcBorders>
              <w:top w:val="single" w:sz="18" w:space="0" w:color="CCFF99"/>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rPr>
                <w:rFonts w:cs="Calibri"/>
                <w:b/>
                <w:bCs/>
                <w:color w:val="000000"/>
                <w:sz w:val="20"/>
                <w:szCs w:val="20"/>
              </w:rPr>
            </w:pPr>
            <w:r w:rsidRPr="00124BC0">
              <w:rPr>
                <w:rFonts w:cs="Calibri"/>
                <w:b/>
                <w:bCs/>
                <w:color w:val="000000"/>
                <w:sz w:val="20"/>
                <w:szCs w:val="20"/>
              </w:rPr>
              <w:t> </w:t>
            </w:r>
          </w:p>
        </w:tc>
        <w:tc>
          <w:tcPr>
            <w:tcW w:w="3964" w:type="dxa"/>
            <w:tcBorders>
              <w:top w:val="single" w:sz="18" w:space="0" w:color="CCFF99"/>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rPr>
                <w:rFonts w:cs="Calibri"/>
                <w:b/>
                <w:bCs/>
                <w:color w:val="000000"/>
                <w:sz w:val="20"/>
                <w:szCs w:val="20"/>
              </w:rPr>
            </w:pPr>
            <w:r w:rsidRPr="00124BC0">
              <w:rPr>
                <w:rFonts w:cs="Calibri"/>
                <w:b/>
                <w:bCs/>
                <w:color w:val="000000"/>
                <w:sz w:val="20"/>
                <w:szCs w:val="20"/>
              </w:rPr>
              <w:t>Ukupno</w:t>
            </w:r>
          </w:p>
        </w:tc>
        <w:tc>
          <w:tcPr>
            <w:tcW w:w="1289" w:type="dxa"/>
            <w:tcBorders>
              <w:top w:val="single" w:sz="18" w:space="0" w:color="CCFF99"/>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1.385</w:t>
            </w:r>
          </w:p>
        </w:tc>
        <w:tc>
          <w:tcPr>
            <w:tcW w:w="1423" w:type="dxa"/>
            <w:tcBorders>
              <w:top w:val="single" w:sz="18" w:space="0" w:color="CCFF99"/>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169</w:t>
            </w:r>
          </w:p>
        </w:tc>
        <w:tc>
          <w:tcPr>
            <w:tcW w:w="1077" w:type="dxa"/>
            <w:tcBorders>
              <w:top w:val="single" w:sz="18" w:space="0" w:color="CCFF99"/>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30</w:t>
            </w:r>
          </w:p>
        </w:tc>
        <w:tc>
          <w:tcPr>
            <w:tcW w:w="1185" w:type="dxa"/>
            <w:tcBorders>
              <w:top w:val="single" w:sz="18" w:space="0" w:color="CCFF99"/>
              <w:left w:val="nil"/>
              <w:bottom w:val="single" w:sz="18" w:space="0" w:color="CCFF99"/>
              <w:right w:val="nil"/>
            </w:tcBorders>
            <w:shd w:val="clear" w:color="000000" w:fill="FFFFFF"/>
            <w:noWrap/>
            <w:vAlign w:val="center"/>
            <w:hideMark/>
          </w:tcPr>
          <w:p w:rsidR="00124BC0" w:rsidRPr="00124BC0" w:rsidRDefault="00124BC0" w:rsidP="00124BC0">
            <w:pPr>
              <w:spacing w:after="0" w:line="240" w:lineRule="auto"/>
              <w:jc w:val="center"/>
              <w:rPr>
                <w:rFonts w:cs="Calibri"/>
                <w:b/>
                <w:bCs/>
                <w:color w:val="000000"/>
                <w:sz w:val="20"/>
                <w:szCs w:val="20"/>
              </w:rPr>
            </w:pPr>
            <w:r w:rsidRPr="00124BC0">
              <w:rPr>
                <w:rFonts w:cs="Calibri"/>
                <w:b/>
                <w:bCs/>
                <w:color w:val="000000"/>
                <w:sz w:val="20"/>
                <w:szCs w:val="20"/>
              </w:rPr>
              <w:t>1.524</w:t>
            </w:r>
          </w:p>
        </w:tc>
      </w:tr>
    </w:tbl>
    <w:p w:rsidR="00124BC0" w:rsidRDefault="00124BC0" w:rsidP="00813033"/>
    <w:p w:rsidR="00E30D45" w:rsidRPr="00E30D45" w:rsidRDefault="00E30D45" w:rsidP="00FC7F81">
      <w:pPr>
        <w:jc w:val="both"/>
      </w:pPr>
      <w:r w:rsidRPr="00E30D45">
        <w:lastRenderedPageBreak/>
        <w:t xml:space="preserve">Planirani trošak plaća za 2019. godinu iznosi 155,7 mil.kn, što predstavlja povećanje u odnosu na procjenu za  2018. godinu  u iznosu od </w:t>
      </w:r>
      <w:r>
        <w:t xml:space="preserve">6,7 milijuna </w:t>
      </w:r>
      <w:r w:rsidRPr="00E30D45">
        <w:t>kuna, odnosno povećanje za 4,47%. U planirane bruto plaće uključen je iznos za stimulacije u iznosu od 2,9 mil</w:t>
      </w:r>
      <w:r>
        <w:t>ijuna kuna, a što je za 1,1</w:t>
      </w:r>
      <w:r w:rsidRPr="00E30D45">
        <w:t xml:space="preserve"> mil.</w:t>
      </w:r>
      <w:r>
        <w:t>k</w:t>
      </w:r>
      <w:r w:rsidRPr="00E30D45">
        <w:t>n više u odnosu na procjenu za 2018. godinu. Planirani iznos za isplatu stimulacije se u omjeru 2:3 odnosi na prodajno osoblje, a isplaćuje se zaposlenicima na temelju postignutih rezultata i uspješnosti prodaje.</w:t>
      </w:r>
    </w:p>
    <w:p w:rsidR="00E30D45" w:rsidRPr="00E30D45" w:rsidRDefault="00E30D45" w:rsidP="00FC7F81">
      <w:pPr>
        <w:jc w:val="both"/>
      </w:pPr>
      <w:r w:rsidRPr="00E30D45">
        <w:t>U narednom razdoblju nastavit će se intenzivnije aktivnosti provođenja programa edukacija, stručnog osposobljavanja i izobrazbe vlastitih zaposlenika, radi stjecanja potrebnih kompetencija i vještina, a sve u cilju uspješne realizacije ciljeva. Planirani troškovi edukacije sistematizirani su u dokumentu Plana edukacija za 2019. godinu.</w:t>
      </w:r>
    </w:p>
    <w:p w:rsidR="00E30D45" w:rsidRPr="00E30D45" w:rsidRDefault="00E30D45" w:rsidP="00FC7F81">
      <w:pPr>
        <w:jc w:val="both"/>
      </w:pPr>
      <w:r w:rsidRPr="00E30D45">
        <w:t>Kod isplate plaća i drugih materijalnih prava primjenjivati će se odredbe Pravilnika o radu.</w:t>
      </w:r>
    </w:p>
    <w:p w:rsidR="00E30D45" w:rsidRPr="00E30D45" w:rsidRDefault="00E30D45" w:rsidP="00FC7F81">
      <w:pPr>
        <w:jc w:val="both"/>
      </w:pPr>
      <w:r w:rsidRPr="00E30D45">
        <w:t>U 2018. godini usvojen je  Pravilnik o utvrđivanju stimulativnog dijela plaće radnika u regijama, te je</w:t>
      </w:r>
      <w:r>
        <w:t xml:space="preserve"> u postupku usvajanja Pravilnik</w:t>
      </w:r>
      <w:r w:rsidRPr="00E30D45">
        <w:t xml:space="preserve"> o utvrđivanju stimulativnog dijela plaće za radnike u stručnim službama, koji će se primjenjiva</w:t>
      </w:r>
      <w:r>
        <w:t>ti od 01.01.</w:t>
      </w:r>
      <w:r w:rsidRPr="00E30D45">
        <w:t xml:space="preserve">2019. god. </w:t>
      </w:r>
    </w:p>
    <w:p w:rsidR="00E30D45" w:rsidRPr="00E30D45" w:rsidRDefault="00E30D45" w:rsidP="00FC7F81">
      <w:pPr>
        <w:jc w:val="both"/>
      </w:pPr>
      <w:r w:rsidRPr="00E30D45">
        <w:t>Pored navedenoga, nastavlja se s razvojem upravljanja talentima, utvrđivanjem korporativnih i sektorskih kompetencija, vrednovanjem uspješnosti i ostvarenjem ciljeva.</w:t>
      </w:r>
    </w:p>
    <w:p w:rsidR="00124BC0" w:rsidRDefault="00124BC0" w:rsidP="00813033"/>
    <w:p w:rsidR="00034C40" w:rsidRDefault="00034C40" w:rsidP="00813033"/>
    <w:p w:rsidR="00034C40" w:rsidRDefault="00034C40" w:rsidP="00813033"/>
    <w:p w:rsidR="00034C40" w:rsidRDefault="00034C40" w:rsidP="00813033"/>
    <w:p w:rsidR="00034C40" w:rsidRDefault="00034C40" w:rsidP="00813033"/>
    <w:p w:rsidR="00034C40" w:rsidRPr="00813033" w:rsidRDefault="00034C40" w:rsidP="00813033"/>
    <w:p w:rsidR="002104DD" w:rsidRPr="002104DD" w:rsidRDefault="00711AE4" w:rsidP="002104DD">
      <w:pPr>
        <w:pStyle w:val="Heading1"/>
        <w:numPr>
          <w:ilvl w:val="1"/>
          <w:numId w:val="38"/>
        </w:numPr>
        <w:jc w:val="both"/>
        <w:rPr>
          <w:rFonts w:ascii="Calibri" w:hAnsi="Calibri" w:cs="Calibri"/>
          <w:sz w:val="28"/>
          <w:szCs w:val="28"/>
        </w:rPr>
      </w:pPr>
      <w:bookmarkStart w:id="45" w:name="_Toc469921249"/>
      <w:bookmarkStart w:id="46" w:name="_Toc501009104"/>
      <w:bookmarkStart w:id="47" w:name="_Toc532299634"/>
      <w:r w:rsidRPr="000C281D">
        <w:rPr>
          <w:rFonts w:ascii="Calibri" w:hAnsi="Calibri" w:cs="Calibri"/>
          <w:sz w:val="28"/>
          <w:szCs w:val="28"/>
        </w:rPr>
        <w:t>Planska bilanca za 201</w:t>
      </w:r>
      <w:r w:rsidR="005B50B2">
        <w:rPr>
          <w:rFonts w:ascii="Calibri" w:hAnsi="Calibri" w:cs="Calibri"/>
          <w:sz w:val="28"/>
          <w:szCs w:val="28"/>
        </w:rPr>
        <w:t>9</w:t>
      </w:r>
      <w:r w:rsidRPr="000C281D">
        <w:rPr>
          <w:rFonts w:ascii="Calibri" w:hAnsi="Calibri" w:cs="Calibri"/>
          <w:sz w:val="28"/>
          <w:szCs w:val="28"/>
        </w:rPr>
        <w:t>. godinu</w:t>
      </w:r>
      <w:bookmarkEnd w:id="45"/>
      <w:bookmarkEnd w:id="46"/>
      <w:bookmarkEnd w:id="47"/>
    </w:p>
    <w:p w:rsidR="002104DD" w:rsidRDefault="002104DD" w:rsidP="002104DD"/>
    <w:p w:rsidR="00BA6BB3" w:rsidRDefault="00923619" w:rsidP="002104DD">
      <w:r w:rsidRPr="00923619">
        <w:rPr>
          <w:noProof/>
        </w:rPr>
        <w:lastRenderedPageBreak/>
        <w:drawing>
          <wp:inline distT="0" distB="0" distL="0" distR="0">
            <wp:extent cx="5915025" cy="5991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15025" cy="5991225"/>
                    </a:xfrm>
                    <a:prstGeom prst="rect">
                      <a:avLst/>
                    </a:prstGeom>
                    <a:noFill/>
                    <a:ln>
                      <a:noFill/>
                    </a:ln>
                  </pic:spPr>
                </pic:pic>
              </a:graphicData>
            </a:graphic>
          </wp:inline>
        </w:drawing>
      </w:r>
    </w:p>
    <w:p w:rsidR="00BA6BB3" w:rsidRDefault="00BA6BB3" w:rsidP="002104DD"/>
    <w:p w:rsidR="00BA6BB3" w:rsidRDefault="00BA6BB3" w:rsidP="002104DD"/>
    <w:p w:rsidR="00BA6BB3" w:rsidRDefault="00BA6BB3" w:rsidP="002104DD"/>
    <w:p w:rsidR="00BA6BB3" w:rsidRDefault="00BA6BB3" w:rsidP="002104DD"/>
    <w:p w:rsidR="00BA6BB3" w:rsidRDefault="00BA6BB3" w:rsidP="002104DD"/>
    <w:p w:rsidR="00BA6BB3" w:rsidRPr="002104DD" w:rsidRDefault="00BA6BB3" w:rsidP="002104DD"/>
    <w:p w:rsidR="009C034E" w:rsidRPr="008D2756" w:rsidRDefault="00711AE4" w:rsidP="009C034E">
      <w:pPr>
        <w:pStyle w:val="Heading1"/>
        <w:numPr>
          <w:ilvl w:val="1"/>
          <w:numId w:val="38"/>
        </w:numPr>
        <w:jc w:val="both"/>
        <w:rPr>
          <w:rFonts w:ascii="Calibri" w:hAnsi="Calibri" w:cs="Calibri"/>
          <w:sz w:val="28"/>
          <w:szCs w:val="28"/>
        </w:rPr>
      </w:pPr>
      <w:bookmarkStart w:id="48" w:name="_Toc469921250"/>
      <w:bookmarkStart w:id="49" w:name="_Toc501009105"/>
      <w:bookmarkStart w:id="50" w:name="_Toc532299635"/>
      <w:r w:rsidRPr="000C281D">
        <w:rPr>
          <w:rFonts w:ascii="Calibri" w:hAnsi="Calibri" w:cs="Calibri"/>
          <w:sz w:val="28"/>
          <w:szCs w:val="28"/>
        </w:rPr>
        <w:t>Pokazatelji uspješnosti poslovanja</w:t>
      </w:r>
      <w:bookmarkEnd w:id="48"/>
      <w:bookmarkEnd w:id="49"/>
      <w:bookmarkEnd w:id="50"/>
    </w:p>
    <w:p w:rsidR="009C034E" w:rsidRDefault="009C034E" w:rsidP="009C034E"/>
    <w:p w:rsidR="00BA6BB3" w:rsidRDefault="007E3BC5" w:rsidP="009C034E">
      <w:r w:rsidRPr="007E3BC5">
        <w:rPr>
          <w:noProof/>
        </w:rPr>
        <w:lastRenderedPageBreak/>
        <w:drawing>
          <wp:inline distT="0" distB="0" distL="0" distR="0">
            <wp:extent cx="5610225" cy="4467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0225" cy="4467225"/>
                    </a:xfrm>
                    <a:prstGeom prst="rect">
                      <a:avLst/>
                    </a:prstGeom>
                    <a:noFill/>
                    <a:ln>
                      <a:noFill/>
                    </a:ln>
                  </pic:spPr>
                </pic:pic>
              </a:graphicData>
            </a:graphic>
          </wp:inline>
        </w:drawing>
      </w:r>
    </w:p>
    <w:p w:rsidR="00034C40" w:rsidRPr="009C034E" w:rsidRDefault="00034C40" w:rsidP="009C034E"/>
    <w:p w:rsidR="00BA6BB3" w:rsidRPr="008D2756" w:rsidRDefault="00711AE4" w:rsidP="00BA6BB3">
      <w:pPr>
        <w:pStyle w:val="Heading1"/>
        <w:numPr>
          <w:ilvl w:val="1"/>
          <w:numId w:val="38"/>
        </w:numPr>
        <w:jc w:val="both"/>
        <w:rPr>
          <w:rFonts w:ascii="Calibri" w:hAnsi="Calibri" w:cs="Calibri"/>
          <w:sz w:val="28"/>
          <w:szCs w:val="28"/>
        </w:rPr>
      </w:pPr>
      <w:bookmarkStart w:id="51" w:name="_Toc501009106"/>
      <w:bookmarkStart w:id="52" w:name="_Toc532299636"/>
      <w:r w:rsidRPr="000C281D">
        <w:rPr>
          <w:rFonts w:ascii="Calibri" w:hAnsi="Calibri" w:cs="Calibri"/>
          <w:sz w:val="28"/>
          <w:szCs w:val="28"/>
        </w:rPr>
        <w:t>Plan investicija za 201</w:t>
      </w:r>
      <w:r w:rsidR="005B50B2">
        <w:rPr>
          <w:rFonts w:ascii="Calibri" w:hAnsi="Calibri" w:cs="Calibri"/>
          <w:sz w:val="28"/>
          <w:szCs w:val="28"/>
        </w:rPr>
        <w:t>9</w:t>
      </w:r>
      <w:r w:rsidRPr="000C281D">
        <w:rPr>
          <w:rFonts w:ascii="Calibri" w:hAnsi="Calibri" w:cs="Calibri"/>
          <w:sz w:val="28"/>
          <w:szCs w:val="28"/>
        </w:rPr>
        <w:t>. godinu</w:t>
      </w:r>
      <w:bookmarkEnd w:id="51"/>
      <w:bookmarkEnd w:id="52"/>
    </w:p>
    <w:tbl>
      <w:tblPr>
        <w:tblW w:w="9060" w:type="dxa"/>
        <w:tblLook w:val="04A0" w:firstRow="1" w:lastRow="0" w:firstColumn="1" w:lastColumn="0" w:noHBand="0" w:noVBand="1"/>
      </w:tblPr>
      <w:tblGrid>
        <w:gridCol w:w="495"/>
        <w:gridCol w:w="3920"/>
        <w:gridCol w:w="2080"/>
        <w:gridCol w:w="1356"/>
        <w:gridCol w:w="1356"/>
      </w:tblGrid>
      <w:tr w:rsidR="00020716" w:rsidRPr="00020716" w:rsidTr="00020716">
        <w:trPr>
          <w:trHeight w:val="315"/>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ascii="Times New Roman" w:hAnsi="Times New Roman"/>
                <w:sz w:val="24"/>
                <w:szCs w:val="24"/>
              </w:rPr>
            </w:pP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ascii="Times New Roman" w:hAnsi="Times New Roman"/>
                <w:sz w:val="20"/>
                <w:szCs w:val="20"/>
              </w:rPr>
            </w:pP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u 000 kn</w:t>
            </w:r>
          </w:p>
        </w:tc>
      </w:tr>
      <w:tr w:rsidR="00020716" w:rsidRPr="00020716" w:rsidTr="00020716">
        <w:trPr>
          <w:trHeight w:val="300"/>
        </w:trPr>
        <w:tc>
          <w:tcPr>
            <w:tcW w:w="380" w:type="dxa"/>
            <w:vMerge w:val="restart"/>
            <w:tcBorders>
              <w:top w:val="single" w:sz="8" w:space="0" w:color="92D050"/>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 </w:t>
            </w:r>
          </w:p>
        </w:tc>
        <w:tc>
          <w:tcPr>
            <w:tcW w:w="3920" w:type="dxa"/>
            <w:vMerge w:val="restart"/>
            <w:tcBorders>
              <w:top w:val="single" w:sz="8" w:space="0" w:color="92D050"/>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Vrsta ulaganja</w:t>
            </w:r>
          </w:p>
        </w:tc>
        <w:tc>
          <w:tcPr>
            <w:tcW w:w="2080" w:type="dxa"/>
            <w:tcBorders>
              <w:top w:val="single" w:sz="8" w:space="0" w:color="92D050"/>
              <w:left w:val="nil"/>
              <w:bottom w:val="nil"/>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 </w:t>
            </w:r>
          </w:p>
        </w:tc>
        <w:tc>
          <w:tcPr>
            <w:tcW w:w="1340" w:type="dxa"/>
            <w:tcBorders>
              <w:top w:val="single" w:sz="8" w:space="0" w:color="92D050"/>
              <w:left w:val="nil"/>
              <w:bottom w:val="nil"/>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Planirano</w:t>
            </w:r>
          </w:p>
        </w:tc>
        <w:tc>
          <w:tcPr>
            <w:tcW w:w="1340" w:type="dxa"/>
            <w:tcBorders>
              <w:top w:val="single" w:sz="8" w:space="0" w:color="92D050"/>
              <w:left w:val="nil"/>
              <w:bottom w:val="nil"/>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Planirano</w:t>
            </w:r>
          </w:p>
        </w:tc>
      </w:tr>
      <w:tr w:rsidR="00020716" w:rsidRPr="00020716" w:rsidTr="00020716">
        <w:trPr>
          <w:trHeight w:val="315"/>
        </w:trPr>
        <w:tc>
          <w:tcPr>
            <w:tcW w:w="380" w:type="dxa"/>
            <w:vMerge/>
            <w:tcBorders>
              <w:top w:val="single" w:sz="8" w:space="0" w:color="92D050"/>
              <w:left w:val="nil"/>
              <w:bottom w:val="single" w:sz="8" w:space="0" w:color="92D050"/>
              <w:right w:val="nil"/>
            </w:tcBorders>
            <w:vAlign w:val="center"/>
            <w:hideMark/>
          </w:tcPr>
          <w:p w:rsidR="00020716" w:rsidRPr="00020716" w:rsidRDefault="00020716" w:rsidP="00020716">
            <w:pPr>
              <w:spacing w:after="0" w:line="240" w:lineRule="auto"/>
              <w:rPr>
                <w:rFonts w:cs="Calibri"/>
                <w:b/>
                <w:bCs/>
                <w:i/>
                <w:iCs/>
              </w:rPr>
            </w:pPr>
          </w:p>
        </w:tc>
        <w:tc>
          <w:tcPr>
            <w:tcW w:w="3920" w:type="dxa"/>
            <w:vMerge/>
            <w:tcBorders>
              <w:top w:val="single" w:sz="8" w:space="0" w:color="92D050"/>
              <w:left w:val="nil"/>
              <w:bottom w:val="single" w:sz="8" w:space="0" w:color="92D050"/>
              <w:right w:val="nil"/>
            </w:tcBorders>
            <w:vAlign w:val="center"/>
            <w:hideMark/>
          </w:tcPr>
          <w:p w:rsidR="00020716" w:rsidRPr="00020716" w:rsidRDefault="00020716" w:rsidP="00020716">
            <w:pPr>
              <w:spacing w:after="0" w:line="240" w:lineRule="auto"/>
              <w:rPr>
                <w:rFonts w:cs="Calibri"/>
                <w:b/>
                <w:bCs/>
                <w:i/>
                <w:iCs/>
              </w:rPr>
            </w:pPr>
          </w:p>
        </w:tc>
        <w:tc>
          <w:tcPr>
            <w:tcW w:w="2080" w:type="dxa"/>
            <w:tcBorders>
              <w:top w:val="nil"/>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 </w:t>
            </w:r>
          </w:p>
        </w:tc>
        <w:tc>
          <w:tcPr>
            <w:tcW w:w="1340" w:type="dxa"/>
            <w:tcBorders>
              <w:top w:val="nil"/>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2018.godina</w:t>
            </w:r>
          </w:p>
        </w:tc>
        <w:tc>
          <w:tcPr>
            <w:tcW w:w="1340" w:type="dxa"/>
            <w:tcBorders>
              <w:top w:val="nil"/>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2019.godina</w:t>
            </w:r>
          </w:p>
        </w:tc>
      </w:tr>
      <w:tr w:rsidR="00020716" w:rsidRPr="00020716" w:rsidTr="00020716">
        <w:trPr>
          <w:trHeight w:val="300"/>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1.</w:t>
            </w: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Izdaci za razvoj</w:t>
            </w: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610</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620</w:t>
            </w:r>
          </w:p>
        </w:tc>
      </w:tr>
      <w:tr w:rsidR="00020716" w:rsidRPr="00020716" w:rsidTr="00020716">
        <w:trPr>
          <w:trHeight w:val="300"/>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2.</w:t>
            </w: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Software i ostala prava</w:t>
            </w: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13.413</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20.692</w:t>
            </w:r>
          </w:p>
        </w:tc>
      </w:tr>
      <w:tr w:rsidR="00020716" w:rsidRPr="00020716" w:rsidTr="00020716">
        <w:trPr>
          <w:trHeight w:val="300"/>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3.</w:t>
            </w: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Građevinski objekti (vlastiti prostor)</w:t>
            </w: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100</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3.024</w:t>
            </w:r>
          </w:p>
        </w:tc>
      </w:tr>
      <w:tr w:rsidR="00020716" w:rsidRPr="00020716" w:rsidTr="00020716">
        <w:trPr>
          <w:trHeight w:val="300"/>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4.</w:t>
            </w: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Kupnja kioska</w:t>
            </w: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1.021</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613</w:t>
            </w:r>
          </w:p>
        </w:tc>
      </w:tr>
      <w:tr w:rsidR="00020716" w:rsidRPr="00020716" w:rsidTr="00020716">
        <w:trPr>
          <w:trHeight w:val="300"/>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5.</w:t>
            </w: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Automati za igre na sreću</w:t>
            </w: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15.130</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22.547</w:t>
            </w:r>
          </w:p>
        </w:tc>
      </w:tr>
      <w:tr w:rsidR="00020716" w:rsidRPr="00020716" w:rsidTr="00020716">
        <w:trPr>
          <w:trHeight w:val="300"/>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6.</w:t>
            </w: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Ostala oprema za igre na sreću</w:t>
            </w: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2.861</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4.900</w:t>
            </w:r>
          </w:p>
        </w:tc>
      </w:tr>
      <w:tr w:rsidR="00020716" w:rsidRPr="00020716" w:rsidTr="00020716">
        <w:trPr>
          <w:trHeight w:val="300"/>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7.</w:t>
            </w: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On line oprema za primanje uplata</w:t>
            </w: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4.500</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1.000</w:t>
            </w:r>
          </w:p>
        </w:tc>
      </w:tr>
      <w:tr w:rsidR="00020716" w:rsidRPr="00020716" w:rsidTr="00020716">
        <w:trPr>
          <w:trHeight w:val="300"/>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8.</w:t>
            </w: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Računalna oprema</w:t>
            </w: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6.330</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6.269</w:t>
            </w:r>
          </w:p>
        </w:tc>
      </w:tr>
      <w:tr w:rsidR="00020716" w:rsidRPr="00020716" w:rsidTr="00020716">
        <w:trPr>
          <w:trHeight w:val="300"/>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9.</w:t>
            </w:r>
          </w:p>
        </w:tc>
        <w:tc>
          <w:tcPr>
            <w:tcW w:w="392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Ostala oprema</w:t>
            </w:r>
          </w:p>
        </w:tc>
        <w:tc>
          <w:tcPr>
            <w:tcW w:w="20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1.318</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1.626</w:t>
            </w:r>
          </w:p>
        </w:tc>
      </w:tr>
      <w:tr w:rsidR="00020716" w:rsidRPr="00020716" w:rsidTr="00020716">
        <w:trPr>
          <w:trHeight w:val="315"/>
        </w:trPr>
        <w:tc>
          <w:tcPr>
            <w:tcW w:w="38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center"/>
              <w:rPr>
                <w:rFonts w:cs="Calibri"/>
              </w:rPr>
            </w:pPr>
            <w:r w:rsidRPr="00020716">
              <w:rPr>
                <w:rFonts w:cs="Calibri"/>
              </w:rPr>
              <w:t>10.</w:t>
            </w:r>
          </w:p>
        </w:tc>
        <w:tc>
          <w:tcPr>
            <w:tcW w:w="6000" w:type="dxa"/>
            <w:gridSpan w:val="2"/>
            <w:tcBorders>
              <w:top w:val="nil"/>
              <w:left w:val="nil"/>
              <w:bottom w:val="nil"/>
              <w:right w:val="nil"/>
            </w:tcBorders>
            <w:shd w:val="clear" w:color="auto" w:fill="auto"/>
            <w:noWrap/>
            <w:vAlign w:val="bottom"/>
            <w:hideMark/>
          </w:tcPr>
          <w:p w:rsidR="00020716" w:rsidRPr="00020716" w:rsidRDefault="00020716" w:rsidP="00020716">
            <w:pPr>
              <w:spacing w:after="0" w:line="240" w:lineRule="auto"/>
              <w:rPr>
                <w:rFonts w:cs="Calibri"/>
              </w:rPr>
            </w:pPr>
            <w:r w:rsidRPr="00020716">
              <w:rPr>
                <w:rFonts w:cs="Calibri"/>
              </w:rPr>
              <w:t>Alati, pogonski inventar i transportna imovina</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1.390</w:t>
            </w:r>
          </w:p>
        </w:tc>
        <w:tc>
          <w:tcPr>
            <w:tcW w:w="1340" w:type="dxa"/>
            <w:tcBorders>
              <w:top w:val="nil"/>
              <w:left w:val="nil"/>
              <w:bottom w:val="nil"/>
              <w:right w:val="nil"/>
            </w:tcBorders>
            <w:shd w:val="clear" w:color="auto" w:fill="auto"/>
            <w:noWrap/>
            <w:vAlign w:val="bottom"/>
            <w:hideMark/>
          </w:tcPr>
          <w:p w:rsidR="00020716" w:rsidRPr="00020716" w:rsidRDefault="00020716" w:rsidP="00020716">
            <w:pPr>
              <w:spacing w:after="0" w:line="240" w:lineRule="auto"/>
              <w:jc w:val="right"/>
              <w:rPr>
                <w:rFonts w:cs="Calibri"/>
              </w:rPr>
            </w:pPr>
            <w:r w:rsidRPr="00020716">
              <w:rPr>
                <w:rFonts w:cs="Calibri"/>
              </w:rPr>
              <w:t>2.332</w:t>
            </w:r>
          </w:p>
        </w:tc>
      </w:tr>
      <w:tr w:rsidR="00020716" w:rsidRPr="00020716" w:rsidTr="00020716">
        <w:trPr>
          <w:trHeight w:val="315"/>
        </w:trPr>
        <w:tc>
          <w:tcPr>
            <w:tcW w:w="380" w:type="dxa"/>
            <w:tcBorders>
              <w:top w:val="single" w:sz="8" w:space="0" w:color="92D050"/>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 </w:t>
            </w:r>
          </w:p>
        </w:tc>
        <w:tc>
          <w:tcPr>
            <w:tcW w:w="3920" w:type="dxa"/>
            <w:tcBorders>
              <w:top w:val="single" w:sz="8" w:space="0" w:color="92D050"/>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UKUPNO</w:t>
            </w:r>
          </w:p>
        </w:tc>
        <w:tc>
          <w:tcPr>
            <w:tcW w:w="2080" w:type="dxa"/>
            <w:tcBorders>
              <w:top w:val="single" w:sz="8" w:space="0" w:color="92D050"/>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center"/>
              <w:rPr>
                <w:rFonts w:cs="Calibri"/>
                <w:b/>
                <w:bCs/>
                <w:i/>
                <w:iCs/>
              </w:rPr>
            </w:pPr>
            <w:r w:rsidRPr="00020716">
              <w:rPr>
                <w:rFonts w:cs="Calibri"/>
                <w:b/>
                <w:bCs/>
                <w:i/>
                <w:iCs/>
              </w:rPr>
              <w:t> </w:t>
            </w:r>
          </w:p>
        </w:tc>
        <w:tc>
          <w:tcPr>
            <w:tcW w:w="1340" w:type="dxa"/>
            <w:tcBorders>
              <w:top w:val="single" w:sz="8" w:space="0" w:color="92D050"/>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right"/>
              <w:rPr>
                <w:rFonts w:cs="Calibri"/>
                <w:b/>
                <w:bCs/>
                <w:i/>
                <w:iCs/>
              </w:rPr>
            </w:pPr>
            <w:r w:rsidRPr="00020716">
              <w:rPr>
                <w:rFonts w:cs="Calibri"/>
                <w:b/>
                <w:bCs/>
                <w:i/>
                <w:iCs/>
              </w:rPr>
              <w:t>46.673</w:t>
            </w:r>
          </w:p>
        </w:tc>
        <w:tc>
          <w:tcPr>
            <w:tcW w:w="1340" w:type="dxa"/>
            <w:tcBorders>
              <w:top w:val="single" w:sz="8" w:space="0" w:color="92D050"/>
              <w:left w:val="nil"/>
              <w:bottom w:val="single" w:sz="8" w:space="0" w:color="92D050"/>
              <w:right w:val="nil"/>
            </w:tcBorders>
            <w:shd w:val="clear" w:color="auto" w:fill="auto"/>
            <w:vAlign w:val="center"/>
            <w:hideMark/>
          </w:tcPr>
          <w:p w:rsidR="00020716" w:rsidRPr="00020716" w:rsidRDefault="00020716" w:rsidP="00020716">
            <w:pPr>
              <w:spacing w:after="0" w:line="240" w:lineRule="auto"/>
              <w:jc w:val="right"/>
              <w:rPr>
                <w:rFonts w:cs="Calibri"/>
                <w:b/>
                <w:bCs/>
                <w:i/>
                <w:iCs/>
              </w:rPr>
            </w:pPr>
            <w:r w:rsidRPr="00020716">
              <w:rPr>
                <w:rFonts w:cs="Calibri"/>
                <w:b/>
                <w:bCs/>
                <w:i/>
                <w:iCs/>
              </w:rPr>
              <w:t>63.623</w:t>
            </w:r>
          </w:p>
        </w:tc>
      </w:tr>
    </w:tbl>
    <w:p w:rsidR="008D2756" w:rsidRDefault="008D2756" w:rsidP="00BA6BB3"/>
    <w:p w:rsidR="00BA6BB3" w:rsidRPr="00020716" w:rsidRDefault="00BA6BB3" w:rsidP="00782DCA">
      <w:pPr>
        <w:jc w:val="both"/>
      </w:pPr>
      <w:r w:rsidRPr="00020716">
        <w:t>Planirana nova ulaganja u dugotrajnu imovinu Hrvatske Lutrije d.o.o. iznose ukupno 63,6 mil</w:t>
      </w:r>
      <w:r w:rsidR="00AA6D44">
        <w:t xml:space="preserve">ijuna </w:t>
      </w:r>
      <w:r w:rsidRPr="00020716">
        <w:t>k</w:t>
      </w:r>
      <w:r w:rsidR="00AA6D44">
        <w:t>u</w:t>
      </w:r>
      <w:r w:rsidRPr="00020716">
        <w:t>n</w:t>
      </w:r>
      <w:r w:rsidR="00AA6D44">
        <w:t>a</w:t>
      </w:r>
      <w:r w:rsidRPr="00020716">
        <w:t>.</w:t>
      </w:r>
    </w:p>
    <w:p w:rsidR="00BA6BB3" w:rsidRPr="00020716" w:rsidRDefault="00BA6BB3" w:rsidP="00782DCA">
      <w:pPr>
        <w:jc w:val="both"/>
      </w:pPr>
      <w:r w:rsidRPr="00020716">
        <w:t>-</w:t>
      </w:r>
      <w:r w:rsidRPr="00020716">
        <w:tab/>
        <w:t xml:space="preserve">Ulaganja u nematerijalnu imovinu (točke 1. </w:t>
      </w:r>
      <w:r w:rsidR="008D2756" w:rsidRPr="00020716">
        <w:t>i 2.) planirana su u visini od 21</w:t>
      </w:r>
      <w:r w:rsidRPr="00020716">
        <w:t>,</w:t>
      </w:r>
      <w:r w:rsidR="00020716" w:rsidRPr="00020716">
        <w:t>3</w:t>
      </w:r>
      <w:r w:rsidR="00AA6D44">
        <w:t xml:space="preserve"> mil.</w:t>
      </w:r>
      <w:r w:rsidRPr="00020716">
        <w:t xml:space="preserve">kn, a odnose se na: ulaganja u prava za korištenje računalnog software-a i licenci, daljnji razvoj iSustava te brand strategiju u ukupnom iznosu od </w:t>
      </w:r>
      <w:r w:rsidR="00020716" w:rsidRPr="00020716">
        <w:t>16</w:t>
      </w:r>
      <w:r w:rsidRPr="00020716">
        <w:t>,</w:t>
      </w:r>
      <w:r w:rsidR="00020716" w:rsidRPr="00020716">
        <w:t>4</w:t>
      </w:r>
      <w:r w:rsidR="00AA6D44">
        <w:t xml:space="preserve"> mil.</w:t>
      </w:r>
      <w:r w:rsidRPr="00020716">
        <w:t xml:space="preserve">kn. Za ulaganje u tuđe objekte radi uporabe ili poboljšanja, odnosno uređenja i opremanja </w:t>
      </w:r>
      <w:r w:rsidR="00020716" w:rsidRPr="00020716">
        <w:t>postojećih poslovnih prostora u zakupu</w:t>
      </w:r>
      <w:r w:rsidRPr="00020716">
        <w:t xml:space="preserve"> i novih automat klubova p</w:t>
      </w:r>
      <w:r w:rsidR="00020716" w:rsidRPr="00020716">
        <w:t>lanirano je 4</w:t>
      </w:r>
      <w:r w:rsidRPr="00020716">
        <w:t>,</w:t>
      </w:r>
      <w:r w:rsidR="00020716" w:rsidRPr="00020716">
        <w:t>9</w:t>
      </w:r>
      <w:r w:rsidR="00AA6D44">
        <w:t xml:space="preserve"> mil.</w:t>
      </w:r>
      <w:r w:rsidRPr="00020716">
        <w:t>kn,</w:t>
      </w:r>
    </w:p>
    <w:p w:rsidR="00BA6BB3" w:rsidRPr="00020716" w:rsidRDefault="00BA6BB3" w:rsidP="00782DCA">
      <w:pPr>
        <w:jc w:val="both"/>
      </w:pPr>
      <w:r w:rsidRPr="00020716">
        <w:lastRenderedPageBreak/>
        <w:t>-</w:t>
      </w:r>
      <w:r w:rsidRPr="00020716">
        <w:tab/>
        <w:t>Za ulaganja u građevinske objekte (kupnja kioska i ulaganja u vlastite p</w:t>
      </w:r>
      <w:r w:rsidR="00020716" w:rsidRPr="00020716">
        <w:t>oslovne prostore) planirano je 3</w:t>
      </w:r>
      <w:r w:rsidRPr="00020716">
        <w:t>,</w:t>
      </w:r>
      <w:r w:rsidR="00020716" w:rsidRPr="00020716">
        <w:t>6</w:t>
      </w:r>
      <w:r w:rsidR="00AA6D44">
        <w:t xml:space="preserve"> mil.</w:t>
      </w:r>
      <w:r w:rsidRPr="00020716">
        <w:t>kn,</w:t>
      </w:r>
    </w:p>
    <w:p w:rsidR="00BA6BB3" w:rsidRPr="00020716" w:rsidRDefault="00BA6BB3" w:rsidP="00782DCA">
      <w:pPr>
        <w:jc w:val="both"/>
      </w:pPr>
      <w:r w:rsidRPr="00020716">
        <w:t>-</w:t>
      </w:r>
      <w:r w:rsidRPr="00020716">
        <w:tab/>
        <w:t>Za nabavu automata</w:t>
      </w:r>
      <w:r w:rsidR="00020716" w:rsidRPr="00020716">
        <w:t xml:space="preserve"> za igre na sreću planirano je 22</w:t>
      </w:r>
      <w:r w:rsidRPr="00020716">
        <w:t>,</w:t>
      </w:r>
      <w:r w:rsidR="00020716" w:rsidRPr="00020716">
        <w:t>5</w:t>
      </w:r>
      <w:r w:rsidR="00AA6D44">
        <w:t xml:space="preserve"> mil.</w:t>
      </w:r>
      <w:r w:rsidRPr="00020716">
        <w:t>kn,</w:t>
      </w:r>
    </w:p>
    <w:p w:rsidR="00BA6BB3" w:rsidRPr="00020716" w:rsidRDefault="00BA6BB3" w:rsidP="00782DCA">
      <w:pPr>
        <w:jc w:val="both"/>
      </w:pPr>
      <w:r w:rsidRPr="00020716">
        <w:t>-</w:t>
      </w:r>
      <w:r w:rsidRPr="00020716">
        <w:tab/>
        <w:t xml:space="preserve">U smislu povećanja atraktivnosti ponude igara planirana je nabavka uređaja za igre </w:t>
      </w:r>
      <w:r w:rsidR="00020716" w:rsidRPr="00020716">
        <w:t>na sreću u ukupnom iznosu od 4,9</w:t>
      </w:r>
      <w:r w:rsidR="00AA6D44">
        <w:t xml:space="preserve"> mil.</w:t>
      </w:r>
      <w:r w:rsidRPr="00020716">
        <w:t>kn</w:t>
      </w:r>
    </w:p>
    <w:p w:rsidR="00BA6BB3" w:rsidRPr="00AA6D44" w:rsidRDefault="00BA6BB3" w:rsidP="00782DCA">
      <w:pPr>
        <w:jc w:val="both"/>
      </w:pPr>
      <w:r w:rsidRPr="00AA6D44">
        <w:t>-</w:t>
      </w:r>
      <w:r w:rsidRPr="00AA6D44">
        <w:tab/>
        <w:t>Planirana ulaganja u opremu z</w:t>
      </w:r>
      <w:r w:rsidR="00782DCA" w:rsidRPr="00AA6D44">
        <w:t>a obradu podataka u iznosu od 7</w:t>
      </w:r>
      <w:r w:rsidRPr="00AA6D44">
        <w:t>,</w:t>
      </w:r>
      <w:r w:rsidR="0088111F">
        <w:t>3</w:t>
      </w:r>
      <w:r w:rsidR="00AA6D44" w:rsidRPr="00AA6D44">
        <w:t xml:space="preserve"> mil.</w:t>
      </w:r>
      <w:r w:rsidR="00782DCA" w:rsidRPr="00AA6D44">
        <w:t xml:space="preserve">kn najvećim dijelom </w:t>
      </w:r>
      <w:r w:rsidRPr="00AA6D44">
        <w:t>odnose se na nabavku nove i zamjenu dotrajale računalne opreme</w:t>
      </w:r>
      <w:r w:rsidR="00AA6D44" w:rsidRPr="00AA6D44">
        <w:t xml:space="preserve"> (serveri, računala, komunikacijska oprema) u iznosu od 6</w:t>
      </w:r>
      <w:r w:rsidRPr="00AA6D44">
        <w:t>,</w:t>
      </w:r>
      <w:r w:rsidR="00AA6D44" w:rsidRPr="00AA6D44">
        <w:t>3</w:t>
      </w:r>
      <w:r w:rsidRPr="00AA6D44">
        <w:t xml:space="preserve"> mil.</w:t>
      </w:r>
      <w:r w:rsidR="00AA6D44" w:rsidRPr="00AA6D44">
        <w:t>k</w:t>
      </w:r>
      <w:r w:rsidRPr="00AA6D44">
        <w:t>n</w:t>
      </w:r>
    </w:p>
    <w:p w:rsidR="00BA6BB3" w:rsidRPr="0088111F" w:rsidRDefault="00BA6BB3" w:rsidP="00782DCA">
      <w:pPr>
        <w:jc w:val="both"/>
      </w:pPr>
      <w:r w:rsidRPr="0088111F">
        <w:t>-</w:t>
      </w:r>
      <w:r w:rsidRPr="0088111F">
        <w:tab/>
        <w:t>Ula</w:t>
      </w:r>
      <w:r w:rsidR="00020716" w:rsidRPr="0088111F">
        <w:t>ganja u ostalu opremu iznose 1,6</w:t>
      </w:r>
      <w:r w:rsidR="0088111F">
        <w:t xml:space="preserve"> mil.</w:t>
      </w:r>
      <w:r w:rsidRPr="0088111F">
        <w:t xml:space="preserve">kn, a odnose se na investicije u opremu za </w:t>
      </w:r>
      <w:r w:rsidR="0088111F" w:rsidRPr="0088111F">
        <w:t>video nadzor</w:t>
      </w:r>
      <w:r w:rsidRPr="0088111F">
        <w:t>,</w:t>
      </w:r>
      <w:r w:rsidR="0088111F" w:rsidRPr="0088111F">
        <w:t xml:space="preserve"> opremu za sigurnost i zaštitu, dodatnu opremu za automate</w:t>
      </w:r>
      <w:r w:rsidRPr="0088111F">
        <w:t xml:space="preserve"> </w:t>
      </w:r>
      <w:r w:rsidR="0088111F" w:rsidRPr="0088111F">
        <w:t>i samoposlužne terminale i sl.</w:t>
      </w:r>
    </w:p>
    <w:p w:rsidR="00BA6BB3" w:rsidRDefault="00AA6D44" w:rsidP="00782DCA">
      <w:pPr>
        <w:jc w:val="both"/>
      </w:pPr>
      <w:r w:rsidRPr="00AA6D44">
        <w:t>-</w:t>
      </w:r>
      <w:r w:rsidRPr="00AA6D44">
        <w:tab/>
        <w:t>Preostali iznos od 2</w:t>
      </w:r>
      <w:r w:rsidR="00BA6BB3" w:rsidRPr="00AA6D44">
        <w:t>,</w:t>
      </w:r>
      <w:r w:rsidRPr="00AA6D44">
        <w:t>3</w:t>
      </w:r>
      <w:r w:rsidR="00BA6BB3" w:rsidRPr="00AA6D44">
        <w:t xml:space="preserve"> mil.kn odnosi se na raznu opremu i i</w:t>
      </w:r>
      <w:r w:rsidRPr="00AA6D44">
        <w:t>nventar (namještaj, reklame, LED</w:t>
      </w:r>
      <w:r w:rsidR="00BA6BB3" w:rsidRPr="00AA6D44">
        <w:t xml:space="preserve"> televizore i slično).</w:t>
      </w:r>
    </w:p>
    <w:p w:rsidR="00BA6BB3" w:rsidRDefault="00BA6BB3" w:rsidP="00BA6BB3"/>
    <w:p w:rsidR="00BA6BB3" w:rsidRDefault="00BA6BB3" w:rsidP="00BA6BB3">
      <w:pPr>
        <w:jc w:val="both"/>
      </w:pPr>
      <w:r>
        <w:t>Planirana ulaganja u dugotrajnu imovinu financirat će se iz vlastitih sredstava</w:t>
      </w:r>
      <w:r w:rsidR="000744AB">
        <w:t>.</w:t>
      </w:r>
    </w:p>
    <w:p w:rsidR="00BA6BB3" w:rsidRPr="00BA6BB3" w:rsidRDefault="00BA6BB3" w:rsidP="00BA6BB3">
      <w:pPr>
        <w:jc w:val="both"/>
      </w:pPr>
      <w:r>
        <w:t>Poslovanje Hrvatske Lutrije u 2019. godini obilježit će stalno praćenje ekonomskih kretanja i relevantnih pokazatelja, što će ujedno biti i osnova za donošenje poslovnih odluka u dijelu provedbe planiranih investicijskih aktivnosti. Prilikom donošenja poslovnih odluka o investicijskim ulaganjima Uprava društva davat će prioritet onim ulaganjima koja će stvoriti uvjete za ostvarenje prometa i prihoda, odnosno koja će u najkraćem razdoblju vratiti uložena financijska sredstva, vodeći pri tome računa o održavanju vlastite likvidnosti i stabilnosti.</w:t>
      </w:r>
    </w:p>
    <w:p w:rsidR="00711AE4" w:rsidRDefault="00711AE4" w:rsidP="007A136F">
      <w:pPr>
        <w:pStyle w:val="Heading1"/>
        <w:numPr>
          <w:ilvl w:val="1"/>
          <w:numId w:val="38"/>
        </w:numPr>
        <w:jc w:val="both"/>
        <w:rPr>
          <w:rFonts w:ascii="Calibri" w:hAnsi="Calibri" w:cs="Calibri"/>
          <w:sz w:val="28"/>
          <w:szCs w:val="28"/>
        </w:rPr>
      </w:pPr>
      <w:bookmarkStart w:id="53" w:name="_Toc433472826"/>
      <w:bookmarkStart w:id="54" w:name="_Toc433472901"/>
      <w:bookmarkStart w:id="55" w:name="_Toc469921252"/>
      <w:bookmarkStart w:id="56" w:name="_Toc501009107"/>
      <w:bookmarkStart w:id="57" w:name="_Toc532299637"/>
      <w:r w:rsidRPr="000C281D">
        <w:rPr>
          <w:rFonts w:ascii="Calibri" w:hAnsi="Calibri" w:cs="Calibri"/>
          <w:sz w:val="28"/>
          <w:szCs w:val="28"/>
        </w:rPr>
        <w:t>Planirana sredstva u korist državnog proračuna</w:t>
      </w:r>
      <w:bookmarkEnd w:id="53"/>
      <w:bookmarkEnd w:id="54"/>
      <w:bookmarkEnd w:id="55"/>
      <w:bookmarkEnd w:id="56"/>
      <w:bookmarkEnd w:id="57"/>
      <w:r w:rsidRPr="000C281D">
        <w:rPr>
          <w:rFonts w:ascii="Calibri" w:hAnsi="Calibri" w:cs="Calibri"/>
          <w:sz w:val="28"/>
          <w:szCs w:val="28"/>
        </w:rPr>
        <w:t xml:space="preserve">  </w:t>
      </w:r>
    </w:p>
    <w:p w:rsidR="00711AE4" w:rsidRDefault="00711AE4" w:rsidP="00711AE4">
      <w:pPr>
        <w:pStyle w:val="ListParagraph"/>
        <w:ind w:left="1003"/>
      </w:pPr>
    </w:p>
    <w:p w:rsidR="00711AE4" w:rsidRPr="00CE1088" w:rsidRDefault="00711AE4" w:rsidP="00711AE4">
      <w:pPr>
        <w:jc w:val="both"/>
      </w:pPr>
      <w:r>
        <w:t>Hrvatska Lutrija d.o.o.</w:t>
      </w:r>
      <w:r w:rsidRPr="00CE1088">
        <w:t xml:space="preserve">  obavljanjem svoje djelatnosti ostvaruje značajna sredstava koja uplaćuje u Državni proračun. Stoga svoje aktivnosti usmjerava ostvarenju što većeg prometa i prihoda. Uz to, kontinuiranim aktivnostima na racionalizaciji poslovanja doprinosi mjerama štednje, s ciljem ostvarenja značajnijih sredstava u korist Državnog proračuna.</w:t>
      </w:r>
    </w:p>
    <w:p w:rsidR="00711AE4" w:rsidRDefault="00711AE4" w:rsidP="00711AE4">
      <w:pPr>
        <w:jc w:val="both"/>
      </w:pPr>
      <w:r w:rsidRPr="00CE1088">
        <w:t xml:space="preserve">U Tablici 8. prikazan je pregled po vrstama obveza </w:t>
      </w:r>
      <w:r w:rsidR="00B500BA">
        <w:t>Hrvatske Lutrije</w:t>
      </w:r>
      <w:r w:rsidRPr="00CE1088">
        <w:t xml:space="preserve"> prema Državnom proračunu.</w:t>
      </w:r>
    </w:p>
    <w:p w:rsidR="00C8274D" w:rsidRDefault="00C8274D" w:rsidP="00C8274D">
      <w:pPr>
        <w:rPr>
          <w:b/>
        </w:rPr>
      </w:pPr>
    </w:p>
    <w:p w:rsidR="00C8274D" w:rsidRDefault="00C8274D" w:rsidP="00C8274D">
      <w:pPr>
        <w:rPr>
          <w:b/>
        </w:rPr>
      </w:pPr>
    </w:p>
    <w:p w:rsidR="00C8274D" w:rsidRDefault="00C8274D" w:rsidP="00C8274D">
      <w:pPr>
        <w:rPr>
          <w:b/>
        </w:rPr>
      </w:pPr>
    </w:p>
    <w:p w:rsidR="00C8274D" w:rsidRDefault="00C8274D" w:rsidP="00C8274D">
      <w:pPr>
        <w:rPr>
          <w:b/>
        </w:rPr>
      </w:pPr>
    </w:p>
    <w:p w:rsidR="00C8274D" w:rsidRPr="00C8274D" w:rsidRDefault="00C8274D" w:rsidP="00C8274D">
      <w:pPr>
        <w:rPr>
          <w:b/>
          <w:caps/>
        </w:rPr>
      </w:pPr>
      <w:r w:rsidRPr="00CE1088">
        <w:rPr>
          <w:b/>
        </w:rPr>
        <w:lastRenderedPageBreak/>
        <w:t xml:space="preserve">Tablica 8.: </w:t>
      </w:r>
      <w:r w:rsidRPr="00CE1088">
        <w:rPr>
          <w:b/>
          <w:caps/>
        </w:rPr>
        <w:t>Plan po vrstama SREDSTAVA u KORIST  DržavnOG proračunA</w:t>
      </w:r>
    </w:p>
    <w:p w:rsidR="00C8274D" w:rsidRDefault="00285709" w:rsidP="00711AE4">
      <w:pPr>
        <w:jc w:val="both"/>
      </w:pPr>
      <w:r w:rsidRPr="00285709">
        <w:rPr>
          <w:noProof/>
        </w:rPr>
        <w:drawing>
          <wp:inline distT="0" distB="0" distL="0" distR="0">
            <wp:extent cx="6120765" cy="5099338"/>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765" cy="5099338"/>
                    </a:xfrm>
                    <a:prstGeom prst="rect">
                      <a:avLst/>
                    </a:prstGeom>
                    <a:noFill/>
                    <a:ln>
                      <a:noFill/>
                    </a:ln>
                  </pic:spPr>
                </pic:pic>
              </a:graphicData>
            </a:graphic>
          </wp:inline>
        </w:drawing>
      </w:r>
    </w:p>
    <w:p w:rsidR="00711AE4" w:rsidRPr="00711AE4" w:rsidRDefault="00711AE4" w:rsidP="00711AE4">
      <w:pPr>
        <w:pStyle w:val="ListParagraph"/>
        <w:ind w:left="1003"/>
      </w:pPr>
    </w:p>
    <w:p w:rsidR="00AF5C5D" w:rsidRPr="00271964" w:rsidRDefault="00AF5C5D" w:rsidP="00AF5C5D">
      <w:pPr>
        <w:pStyle w:val="Heading1"/>
        <w:ind w:left="1003"/>
        <w:jc w:val="both"/>
        <w:rPr>
          <w:sz w:val="28"/>
          <w:szCs w:val="28"/>
        </w:rPr>
      </w:pPr>
      <w:bookmarkStart w:id="58" w:name="_Toc469921253"/>
      <w:bookmarkStart w:id="59" w:name="_Toc501009108"/>
      <w:bookmarkStart w:id="60" w:name="_Toc532299638"/>
      <w:r w:rsidRPr="0035555E">
        <w:rPr>
          <w:rFonts w:ascii="Calibri" w:hAnsi="Calibri" w:cs="Calibri"/>
          <w:sz w:val="28"/>
          <w:szCs w:val="28"/>
        </w:rPr>
        <w:t xml:space="preserve">5.7.1. </w:t>
      </w:r>
      <w:r w:rsidRPr="00271964">
        <w:rPr>
          <w:rFonts w:ascii="Calibri" w:hAnsi="Calibri" w:cs="Calibri"/>
          <w:sz w:val="28"/>
          <w:szCs w:val="28"/>
        </w:rPr>
        <w:t>Planirana sredstva za financ</w:t>
      </w:r>
      <w:r>
        <w:rPr>
          <w:rFonts w:ascii="Calibri" w:hAnsi="Calibri" w:cs="Calibri"/>
          <w:sz w:val="28"/>
          <w:szCs w:val="28"/>
        </w:rPr>
        <w:t>iranje</w:t>
      </w:r>
      <w:r w:rsidRPr="00271964">
        <w:rPr>
          <w:rFonts w:ascii="Calibri" w:hAnsi="Calibri" w:cs="Calibri"/>
          <w:sz w:val="28"/>
          <w:szCs w:val="28"/>
        </w:rPr>
        <w:t xml:space="preserve"> organizacija sukladno čl. 8 Zakona  o igrama na sreću</w:t>
      </w:r>
      <w:bookmarkEnd w:id="58"/>
      <w:bookmarkEnd w:id="59"/>
      <w:bookmarkEnd w:id="60"/>
    </w:p>
    <w:p w:rsidR="00AF5C5D" w:rsidRPr="00F5131D" w:rsidRDefault="00AF5C5D" w:rsidP="00AF5C5D">
      <w:pPr>
        <w:rPr>
          <w:lang w:eastAsia="x-none"/>
        </w:rPr>
      </w:pPr>
    </w:p>
    <w:p w:rsidR="00AF5C5D" w:rsidRPr="00CE1088" w:rsidRDefault="00AF5C5D" w:rsidP="00AF5C5D">
      <w:pPr>
        <w:jc w:val="both"/>
      </w:pPr>
      <w:r w:rsidRPr="00CE1088">
        <w:t>U članku 8. stavak 2. Zakona o igrama na sreću (NN br. 87/09., 35/13., 158/13., 41/14.</w:t>
      </w:r>
      <w:r w:rsidRPr="00CE1088">
        <w:rPr>
          <w:b/>
        </w:rPr>
        <w:t>)</w:t>
      </w:r>
      <w:r w:rsidRPr="00CE1088">
        <w:t xml:space="preserve"> propisano je izdvajanje dijela prihoda od igara na sreću za financiranje programa organizacija koje promiču razvoj sporta, pridonose borbi protiv droga i svih drugih oblika ovisnosti, koje se bave socijalnom i humanitarnom djelatnošću, problemima i zadovoljavanjem potreba osoba s invaliditetom tehničkom kulturom, kulturom, izvaninstitucionalnom naobrazbom i odgojem djece i mladih te pridonose razvoju civilnog društva.</w:t>
      </w:r>
    </w:p>
    <w:p w:rsidR="00AF5C5D" w:rsidRDefault="00AF5C5D" w:rsidP="00AF5C5D">
      <w:pPr>
        <w:jc w:val="both"/>
      </w:pPr>
      <w:r w:rsidRPr="00CE1088">
        <w:t xml:space="preserve">Sredstva </w:t>
      </w:r>
      <w:r>
        <w:t>H</w:t>
      </w:r>
      <w:r w:rsidR="00B500BA">
        <w:t xml:space="preserve">rvatske </w:t>
      </w:r>
      <w:r>
        <w:t>L</w:t>
      </w:r>
      <w:r w:rsidR="00B500BA">
        <w:t>utrije</w:t>
      </w:r>
      <w:r w:rsidRPr="00CE1088">
        <w:t xml:space="preserve"> koja su prihod Državnog proračuna i koja se sukladno članku 8. Zakona o igrama na sreću dijelom izdvajaju za financiranje programa navedenih organizacija, planirana su po vrstama kako je navedeno u Tablici 9.</w:t>
      </w:r>
    </w:p>
    <w:p w:rsidR="00AF5C5D" w:rsidRDefault="00AF5C5D" w:rsidP="00AF5C5D">
      <w:pPr>
        <w:rPr>
          <w:b/>
        </w:rPr>
      </w:pPr>
    </w:p>
    <w:p w:rsidR="00AF5C5D" w:rsidRPr="00CE1088" w:rsidRDefault="00AF5C5D" w:rsidP="00AF5C5D">
      <w:pPr>
        <w:rPr>
          <w:b/>
          <w:caps/>
        </w:rPr>
      </w:pPr>
      <w:r w:rsidRPr="00CE1088">
        <w:rPr>
          <w:b/>
        </w:rPr>
        <w:t xml:space="preserve">Tablica 9.: </w:t>
      </w:r>
      <w:r w:rsidRPr="00CE1088">
        <w:rPr>
          <w:b/>
          <w:caps/>
        </w:rPr>
        <w:t xml:space="preserve">Plan IZDVAJANJA SREDSTAVA ZA FINANCIRANJE ORGANIZACIJA PO </w:t>
      </w:r>
    </w:p>
    <w:p w:rsidR="00AF5C5D" w:rsidRPr="00CE1088" w:rsidRDefault="00AF5C5D" w:rsidP="00AF5C5D">
      <w:pPr>
        <w:rPr>
          <w:b/>
          <w:caps/>
        </w:rPr>
      </w:pPr>
      <w:r w:rsidRPr="00CE1088">
        <w:rPr>
          <w:b/>
          <w:caps/>
        </w:rPr>
        <w:lastRenderedPageBreak/>
        <w:t xml:space="preserve">                   ČLANKU 8. ZAKONA O IGRAMA NA SREĆU</w:t>
      </w:r>
    </w:p>
    <w:p w:rsidR="00711AE4" w:rsidRPr="00711AE4" w:rsidRDefault="00AF5C5D" w:rsidP="00711AE4">
      <w:r w:rsidRPr="00AF5C5D">
        <w:rPr>
          <w:noProof/>
        </w:rPr>
        <w:drawing>
          <wp:inline distT="0" distB="0" distL="0" distR="0">
            <wp:extent cx="6120765" cy="3143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3143250"/>
                    </a:xfrm>
                    <a:prstGeom prst="rect">
                      <a:avLst/>
                    </a:prstGeom>
                    <a:noFill/>
                    <a:ln>
                      <a:noFill/>
                    </a:ln>
                  </pic:spPr>
                </pic:pic>
              </a:graphicData>
            </a:graphic>
          </wp:inline>
        </w:drawing>
      </w:r>
    </w:p>
    <w:p w:rsidR="00B36742" w:rsidRDefault="00B36742" w:rsidP="00B36742">
      <w:pPr>
        <w:jc w:val="both"/>
      </w:pPr>
    </w:p>
    <w:p w:rsidR="00B36742" w:rsidRPr="00CE1088" w:rsidRDefault="00B36742" w:rsidP="00B36742">
      <w:pPr>
        <w:jc w:val="both"/>
      </w:pPr>
      <w:r w:rsidRPr="00CE1088">
        <w:t>Uredbom o kriterijima za utvrđivanje korisnika i načinu raspodjele dijela prihoda od igara na sreću Vlada Republike Hrvatske odredit će kriterije i način raspodjele dijela prihoda od igara na sreću za financiranje programa organizacija koje djeluju u područjima propisanima člankom 8. Zakona o igrama na sreću.</w:t>
      </w:r>
    </w:p>
    <w:p w:rsidR="00F40EA7" w:rsidRDefault="00F40EA7" w:rsidP="004C1567">
      <w:pPr>
        <w:rPr>
          <w:rFonts w:cs="Calibri"/>
        </w:rPr>
      </w:pPr>
    </w:p>
    <w:p w:rsidR="004C1567" w:rsidRDefault="004C1567" w:rsidP="004C1567">
      <w:pPr>
        <w:rPr>
          <w:rFonts w:cs="Calibri"/>
        </w:rPr>
      </w:pPr>
      <w:r>
        <w:rPr>
          <w:rFonts w:cs="Calibri"/>
        </w:rPr>
        <w:t xml:space="preserve">U Zagrebu, </w:t>
      </w:r>
      <w:r w:rsidR="00F40EA7">
        <w:rPr>
          <w:rFonts w:cs="Calibri"/>
        </w:rPr>
        <w:t>prosinac</w:t>
      </w:r>
      <w:r>
        <w:rPr>
          <w:rFonts w:cs="Calibri"/>
        </w:rPr>
        <w:t xml:space="preserve"> 2018. godine</w:t>
      </w:r>
    </w:p>
    <w:p w:rsidR="004C1567" w:rsidRDefault="00F40EA7" w:rsidP="004C1567">
      <w:pPr>
        <w:tabs>
          <w:tab w:val="left" w:pos="142"/>
        </w:tabs>
      </w:pPr>
      <w:r>
        <w:t xml:space="preserve"> </w:t>
      </w:r>
    </w:p>
    <w:p w:rsidR="004C1567" w:rsidRDefault="001154E5" w:rsidP="004C1567">
      <w:pPr>
        <w:tabs>
          <w:tab w:val="left" w:pos="142"/>
        </w:tabs>
        <w:contextualSpacing/>
      </w:pPr>
      <w:r>
        <w:t>Iva Meštrović</w:t>
      </w:r>
    </w:p>
    <w:p w:rsidR="001154E5" w:rsidRPr="007A598F" w:rsidRDefault="001154E5" w:rsidP="004C1567">
      <w:pPr>
        <w:tabs>
          <w:tab w:val="left" w:pos="142"/>
        </w:tabs>
        <w:contextualSpacing/>
      </w:pPr>
      <w:r>
        <w:t>Viša specijalistica za kontroling</w:t>
      </w:r>
    </w:p>
    <w:p w:rsidR="004C1567" w:rsidRDefault="004C1567" w:rsidP="004C1567">
      <w:pPr>
        <w:tabs>
          <w:tab w:val="left" w:pos="142"/>
        </w:tabs>
      </w:pPr>
    </w:p>
    <w:p w:rsidR="001154E5" w:rsidRDefault="001154E5" w:rsidP="004C1567">
      <w:pPr>
        <w:tabs>
          <w:tab w:val="left" w:pos="142"/>
        </w:tabs>
        <w:contextualSpacing/>
      </w:pPr>
      <w:r>
        <w:t>Martina Černi</w:t>
      </w:r>
    </w:p>
    <w:p w:rsidR="004C1567" w:rsidRDefault="001154E5" w:rsidP="004C1567">
      <w:pPr>
        <w:tabs>
          <w:tab w:val="left" w:pos="142"/>
        </w:tabs>
        <w:contextualSpacing/>
      </w:pPr>
      <w:r>
        <w:t>V</w:t>
      </w:r>
      <w:r w:rsidR="004C1567">
        <w:t>oditelj</w:t>
      </w:r>
      <w:r>
        <w:t>ica Službe</w:t>
      </w:r>
      <w:r w:rsidR="004C1567">
        <w:t xml:space="preserve"> kontrolinga</w:t>
      </w:r>
    </w:p>
    <w:p w:rsidR="004C1567" w:rsidRDefault="004C1567" w:rsidP="00A655DC">
      <w:pPr>
        <w:tabs>
          <w:tab w:val="left" w:pos="142"/>
        </w:tabs>
      </w:pPr>
    </w:p>
    <w:p w:rsidR="004C1567" w:rsidRPr="007A598F" w:rsidRDefault="004C1567" w:rsidP="00A655DC">
      <w:pPr>
        <w:tabs>
          <w:tab w:val="left" w:pos="142"/>
        </w:tabs>
        <w:ind w:left="120"/>
      </w:pPr>
      <w:r>
        <w:tab/>
      </w:r>
      <w:r>
        <w:tab/>
      </w:r>
      <w:r>
        <w:tab/>
      </w:r>
      <w:r>
        <w:tab/>
      </w:r>
      <w:r>
        <w:tab/>
      </w:r>
      <w:r>
        <w:tab/>
      </w:r>
      <w:r>
        <w:tab/>
      </w:r>
      <w:r>
        <w:tab/>
      </w:r>
      <w:r>
        <w:tab/>
      </w:r>
      <w:r w:rsidRPr="007A598F">
        <w:t>Hrvatska Lutrija d.o.o.</w:t>
      </w:r>
    </w:p>
    <w:p w:rsidR="004C1567" w:rsidRDefault="00A655DC" w:rsidP="004C1567">
      <w:pPr>
        <w:tabs>
          <w:tab w:val="left" w:pos="142"/>
        </w:tabs>
        <w:ind w:left="119"/>
        <w:contextualSpacing/>
      </w:pPr>
      <w:r>
        <w:tab/>
      </w:r>
      <w:r>
        <w:tab/>
      </w:r>
      <w:r w:rsidR="004C1567" w:rsidRPr="007A598F">
        <w:tab/>
      </w:r>
      <w:r w:rsidR="004C1567" w:rsidRPr="007A598F">
        <w:tab/>
      </w:r>
      <w:r w:rsidR="004C1567" w:rsidRPr="007A598F">
        <w:tab/>
      </w:r>
      <w:r w:rsidR="004C1567" w:rsidRPr="007A598F">
        <w:tab/>
      </w:r>
      <w:r w:rsidR="004C1567" w:rsidRPr="007A598F">
        <w:tab/>
      </w:r>
      <w:r w:rsidR="004C1567" w:rsidRPr="007A598F">
        <w:tab/>
      </w:r>
      <w:r w:rsidR="004C1567" w:rsidRPr="007A598F">
        <w:tab/>
        <w:t>Mario Musa, MBA</w:t>
      </w:r>
    </w:p>
    <w:p w:rsidR="004C1567" w:rsidRPr="007A598F" w:rsidRDefault="004C1567" w:rsidP="004C1567">
      <w:pPr>
        <w:tabs>
          <w:tab w:val="left" w:pos="142"/>
        </w:tabs>
        <w:ind w:left="119"/>
        <w:contextualSpacing/>
      </w:pPr>
      <w:r>
        <w:tab/>
      </w:r>
      <w:r>
        <w:tab/>
      </w:r>
      <w:r>
        <w:tab/>
      </w:r>
      <w:r>
        <w:tab/>
      </w:r>
      <w:r>
        <w:tab/>
      </w:r>
      <w:r>
        <w:tab/>
      </w:r>
      <w:r>
        <w:tab/>
      </w:r>
      <w:r>
        <w:tab/>
      </w:r>
      <w:r>
        <w:tab/>
      </w:r>
      <w:r w:rsidRPr="007A598F">
        <w:t>predsjednik Uprave</w:t>
      </w:r>
    </w:p>
    <w:p w:rsidR="004C1567" w:rsidRDefault="004C1567" w:rsidP="00A655DC">
      <w:pPr>
        <w:tabs>
          <w:tab w:val="left" w:pos="142"/>
        </w:tabs>
      </w:pPr>
    </w:p>
    <w:p w:rsidR="004C1567" w:rsidRPr="007A598F" w:rsidRDefault="004C1567" w:rsidP="004C1567">
      <w:pPr>
        <w:tabs>
          <w:tab w:val="left" w:pos="142"/>
        </w:tabs>
        <w:ind w:left="120"/>
      </w:pPr>
    </w:p>
    <w:p w:rsidR="004C1567" w:rsidRDefault="004C1567" w:rsidP="004C1567">
      <w:pPr>
        <w:tabs>
          <w:tab w:val="left" w:pos="142"/>
        </w:tabs>
        <w:ind w:left="119"/>
        <w:contextualSpacing/>
      </w:pPr>
      <w:r w:rsidRPr="007A598F">
        <w:tab/>
      </w:r>
      <w:r w:rsidRPr="007A598F">
        <w:tab/>
      </w:r>
      <w:r w:rsidRPr="007A598F">
        <w:tab/>
      </w:r>
      <w:r w:rsidRPr="007A598F">
        <w:tab/>
      </w:r>
      <w:r w:rsidRPr="007A598F">
        <w:tab/>
      </w:r>
      <w:r w:rsidRPr="007A598F">
        <w:tab/>
      </w:r>
      <w:r w:rsidRPr="007A598F">
        <w:tab/>
      </w:r>
      <w:r w:rsidRPr="007A598F">
        <w:tab/>
      </w:r>
      <w:r w:rsidRPr="007A598F">
        <w:tab/>
        <w:t>Eugen Sunara</w:t>
      </w:r>
    </w:p>
    <w:p w:rsidR="004C1567" w:rsidRPr="007A598F" w:rsidRDefault="004C1567" w:rsidP="004C1567">
      <w:pPr>
        <w:tabs>
          <w:tab w:val="left" w:pos="142"/>
        </w:tabs>
        <w:ind w:left="119"/>
        <w:contextualSpacing/>
      </w:pPr>
      <w:r>
        <w:tab/>
      </w:r>
      <w:r>
        <w:tab/>
      </w:r>
      <w:r>
        <w:tab/>
      </w:r>
      <w:r>
        <w:tab/>
      </w:r>
      <w:r>
        <w:tab/>
      </w:r>
      <w:r>
        <w:tab/>
      </w:r>
      <w:r>
        <w:tab/>
      </w:r>
      <w:r>
        <w:tab/>
      </w:r>
      <w:r>
        <w:tab/>
      </w:r>
      <w:r w:rsidRPr="007A598F">
        <w:t>član Uprave</w:t>
      </w:r>
    </w:p>
    <w:p w:rsidR="004C1567" w:rsidRDefault="004C1567" w:rsidP="009A368B">
      <w:pPr>
        <w:tabs>
          <w:tab w:val="left" w:pos="142"/>
        </w:tabs>
        <w:ind w:left="142"/>
        <w:jc w:val="both"/>
      </w:pPr>
    </w:p>
    <w:sectPr w:rsidR="004C1567" w:rsidSect="00715A49">
      <w:footerReference w:type="even" r:id="rId45"/>
      <w:footerReference w:type="default" r:id="rId46"/>
      <w:pgSz w:w="11906" w:h="16838" w:code="9"/>
      <w:pgMar w:top="1440" w:right="849"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5D6" w:rsidRDefault="00F265D6">
      <w:pPr>
        <w:spacing w:after="0" w:line="240" w:lineRule="auto"/>
      </w:pPr>
      <w:r>
        <w:separator/>
      </w:r>
    </w:p>
  </w:endnote>
  <w:endnote w:type="continuationSeparator" w:id="0">
    <w:p w:rsidR="00F265D6" w:rsidRDefault="00F2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81" w:rsidRDefault="00FC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7F81" w:rsidRDefault="00FC7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932776"/>
      <w:docPartObj>
        <w:docPartGallery w:val="Page Numbers (Bottom of Page)"/>
        <w:docPartUnique/>
      </w:docPartObj>
    </w:sdtPr>
    <w:sdtEndPr/>
    <w:sdtContent>
      <w:p w:rsidR="00FC7F81" w:rsidRDefault="00FC7F81" w:rsidP="00111EAE">
        <w:pPr>
          <w:pStyle w:val="Footer"/>
          <w:jc w:val="center"/>
        </w:pPr>
        <w:r>
          <w:fldChar w:fldCharType="begin"/>
        </w:r>
        <w:r>
          <w:instrText>PAGE   \* MERGEFORMAT</w:instrText>
        </w:r>
        <w:r>
          <w:fldChar w:fldCharType="separate"/>
        </w:r>
        <w:r w:rsidR="00392DE6">
          <w:rPr>
            <w:noProof/>
          </w:rPr>
          <w:t>- 6 -</w:t>
        </w:r>
        <w:r>
          <w:fldChar w:fldCharType="end"/>
        </w:r>
      </w:p>
    </w:sdtContent>
  </w:sdt>
  <w:p w:rsidR="00FC7F81" w:rsidRDefault="00FC7F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5D6" w:rsidRDefault="00F265D6">
      <w:pPr>
        <w:spacing w:after="0" w:line="240" w:lineRule="auto"/>
      </w:pPr>
      <w:r>
        <w:separator/>
      </w:r>
    </w:p>
  </w:footnote>
  <w:footnote w:type="continuationSeparator" w:id="0">
    <w:p w:rsidR="00F265D6" w:rsidRDefault="00F2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F9"/>
    <w:multiLevelType w:val="hybridMultilevel"/>
    <w:tmpl w:val="67802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F054C6"/>
    <w:multiLevelType w:val="multilevel"/>
    <w:tmpl w:val="F7D0A1E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33A6535"/>
    <w:multiLevelType w:val="hybridMultilevel"/>
    <w:tmpl w:val="577A3F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8E0AF9"/>
    <w:multiLevelType w:val="hybridMultilevel"/>
    <w:tmpl w:val="93BC0D6A"/>
    <w:lvl w:ilvl="0" w:tplc="041A000B">
      <w:start w:val="1"/>
      <w:numFmt w:val="bullet"/>
      <w:lvlText w:val=""/>
      <w:lvlJc w:val="left"/>
      <w:pPr>
        <w:ind w:left="862" w:hanging="360"/>
      </w:pPr>
      <w:rPr>
        <w:rFonts w:ascii="Wingdings" w:hAnsi="Wingdings"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4" w15:restartNumberingAfterBreak="0">
    <w:nsid w:val="06691126"/>
    <w:multiLevelType w:val="hybridMultilevel"/>
    <w:tmpl w:val="0BF4DA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9564BB6"/>
    <w:multiLevelType w:val="hybridMultilevel"/>
    <w:tmpl w:val="5BC2B146"/>
    <w:lvl w:ilvl="0" w:tplc="041A0001">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6" w15:restartNumberingAfterBreak="0">
    <w:nsid w:val="0A00510E"/>
    <w:multiLevelType w:val="hybridMultilevel"/>
    <w:tmpl w:val="8E5CC1F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0C717D8C"/>
    <w:multiLevelType w:val="hybridMultilevel"/>
    <w:tmpl w:val="647413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882F12"/>
    <w:multiLevelType w:val="hybridMultilevel"/>
    <w:tmpl w:val="E0D033A0"/>
    <w:lvl w:ilvl="0" w:tplc="E6B8D970">
      <w:start w:val="1"/>
      <w:numFmt w:val="decimal"/>
      <w:lvlText w:val="%1."/>
      <w:lvlJc w:val="left"/>
      <w:pPr>
        <w:tabs>
          <w:tab w:val="num" w:pos="720"/>
        </w:tabs>
        <w:ind w:left="720" w:hanging="360"/>
      </w:pPr>
    </w:lvl>
    <w:lvl w:ilvl="1" w:tplc="2850F782">
      <w:start w:val="1"/>
      <w:numFmt w:val="lowerLetter"/>
      <w:lvlText w:val="%2."/>
      <w:lvlJc w:val="left"/>
      <w:pPr>
        <w:tabs>
          <w:tab w:val="num" w:pos="1440"/>
        </w:tabs>
        <w:ind w:left="1440" w:hanging="360"/>
      </w:pPr>
    </w:lvl>
    <w:lvl w:ilvl="2" w:tplc="C9541930">
      <w:start w:val="1"/>
      <w:numFmt w:val="decimal"/>
      <w:lvlText w:val="%3."/>
      <w:lvlJc w:val="left"/>
      <w:pPr>
        <w:tabs>
          <w:tab w:val="num" w:pos="2160"/>
        </w:tabs>
        <w:ind w:left="2160" w:hanging="360"/>
      </w:pPr>
    </w:lvl>
    <w:lvl w:ilvl="3" w:tplc="99B4F390" w:tentative="1">
      <w:start w:val="1"/>
      <w:numFmt w:val="decimal"/>
      <w:lvlText w:val="%4."/>
      <w:lvlJc w:val="left"/>
      <w:pPr>
        <w:tabs>
          <w:tab w:val="num" w:pos="2880"/>
        </w:tabs>
        <w:ind w:left="2880" w:hanging="360"/>
      </w:pPr>
    </w:lvl>
    <w:lvl w:ilvl="4" w:tplc="876E1064" w:tentative="1">
      <w:start w:val="1"/>
      <w:numFmt w:val="decimal"/>
      <w:lvlText w:val="%5."/>
      <w:lvlJc w:val="left"/>
      <w:pPr>
        <w:tabs>
          <w:tab w:val="num" w:pos="3600"/>
        </w:tabs>
        <w:ind w:left="3600" w:hanging="360"/>
      </w:pPr>
    </w:lvl>
    <w:lvl w:ilvl="5" w:tplc="3A485690" w:tentative="1">
      <w:start w:val="1"/>
      <w:numFmt w:val="decimal"/>
      <w:lvlText w:val="%6."/>
      <w:lvlJc w:val="left"/>
      <w:pPr>
        <w:tabs>
          <w:tab w:val="num" w:pos="4320"/>
        </w:tabs>
        <w:ind w:left="4320" w:hanging="360"/>
      </w:pPr>
    </w:lvl>
    <w:lvl w:ilvl="6" w:tplc="336E872A" w:tentative="1">
      <w:start w:val="1"/>
      <w:numFmt w:val="decimal"/>
      <w:lvlText w:val="%7."/>
      <w:lvlJc w:val="left"/>
      <w:pPr>
        <w:tabs>
          <w:tab w:val="num" w:pos="5040"/>
        </w:tabs>
        <w:ind w:left="5040" w:hanging="360"/>
      </w:pPr>
    </w:lvl>
    <w:lvl w:ilvl="7" w:tplc="D172C154" w:tentative="1">
      <w:start w:val="1"/>
      <w:numFmt w:val="decimal"/>
      <w:lvlText w:val="%8."/>
      <w:lvlJc w:val="left"/>
      <w:pPr>
        <w:tabs>
          <w:tab w:val="num" w:pos="5760"/>
        </w:tabs>
        <w:ind w:left="5760" w:hanging="360"/>
      </w:pPr>
    </w:lvl>
    <w:lvl w:ilvl="8" w:tplc="6AC47D26" w:tentative="1">
      <w:start w:val="1"/>
      <w:numFmt w:val="decimal"/>
      <w:lvlText w:val="%9."/>
      <w:lvlJc w:val="left"/>
      <w:pPr>
        <w:tabs>
          <w:tab w:val="num" w:pos="6480"/>
        </w:tabs>
        <w:ind w:left="6480" w:hanging="360"/>
      </w:pPr>
    </w:lvl>
  </w:abstractNum>
  <w:abstractNum w:abstractNumId="9" w15:restartNumberingAfterBreak="0">
    <w:nsid w:val="0F101685"/>
    <w:multiLevelType w:val="hybridMultilevel"/>
    <w:tmpl w:val="61A0ADDE"/>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C059BD"/>
    <w:multiLevelType w:val="multilevel"/>
    <w:tmpl w:val="CBD41A14"/>
    <w:lvl w:ilvl="0">
      <w:start w:val="4"/>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AE04AEE"/>
    <w:multiLevelType w:val="hybridMultilevel"/>
    <w:tmpl w:val="872E65D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1E1B15F2"/>
    <w:multiLevelType w:val="hybridMultilevel"/>
    <w:tmpl w:val="3982AB8E"/>
    <w:lvl w:ilvl="0" w:tplc="03E0F16C">
      <w:start w:val="1"/>
      <w:numFmt w:val="bullet"/>
      <w:lvlText w:val=""/>
      <w:lvlJc w:val="left"/>
      <w:pPr>
        <w:tabs>
          <w:tab w:val="num" w:pos="1068"/>
        </w:tabs>
        <w:ind w:left="1068" w:hanging="360"/>
      </w:pPr>
      <w:rPr>
        <w:rFonts w:ascii="Wingdings" w:hAnsi="Wingdings" w:hint="default"/>
      </w:rPr>
    </w:lvl>
    <w:lvl w:ilvl="1" w:tplc="817256EA" w:tentative="1">
      <w:start w:val="1"/>
      <w:numFmt w:val="bullet"/>
      <w:lvlText w:val=""/>
      <w:lvlJc w:val="left"/>
      <w:pPr>
        <w:tabs>
          <w:tab w:val="num" w:pos="1788"/>
        </w:tabs>
        <w:ind w:left="1788" w:hanging="360"/>
      </w:pPr>
      <w:rPr>
        <w:rFonts w:ascii="Wingdings" w:hAnsi="Wingdings" w:hint="default"/>
      </w:rPr>
    </w:lvl>
    <w:lvl w:ilvl="2" w:tplc="E526A064" w:tentative="1">
      <w:start w:val="1"/>
      <w:numFmt w:val="bullet"/>
      <w:lvlText w:val=""/>
      <w:lvlJc w:val="left"/>
      <w:pPr>
        <w:tabs>
          <w:tab w:val="num" w:pos="2508"/>
        </w:tabs>
        <w:ind w:left="2508" w:hanging="360"/>
      </w:pPr>
      <w:rPr>
        <w:rFonts w:ascii="Wingdings" w:hAnsi="Wingdings" w:hint="default"/>
      </w:rPr>
    </w:lvl>
    <w:lvl w:ilvl="3" w:tplc="C7C4545C" w:tentative="1">
      <w:start w:val="1"/>
      <w:numFmt w:val="bullet"/>
      <w:lvlText w:val=""/>
      <w:lvlJc w:val="left"/>
      <w:pPr>
        <w:tabs>
          <w:tab w:val="num" w:pos="3228"/>
        </w:tabs>
        <w:ind w:left="3228" w:hanging="360"/>
      </w:pPr>
      <w:rPr>
        <w:rFonts w:ascii="Wingdings" w:hAnsi="Wingdings" w:hint="default"/>
      </w:rPr>
    </w:lvl>
    <w:lvl w:ilvl="4" w:tplc="AC105E24" w:tentative="1">
      <w:start w:val="1"/>
      <w:numFmt w:val="bullet"/>
      <w:lvlText w:val=""/>
      <w:lvlJc w:val="left"/>
      <w:pPr>
        <w:tabs>
          <w:tab w:val="num" w:pos="3948"/>
        </w:tabs>
        <w:ind w:left="3948" w:hanging="360"/>
      </w:pPr>
      <w:rPr>
        <w:rFonts w:ascii="Wingdings" w:hAnsi="Wingdings" w:hint="default"/>
      </w:rPr>
    </w:lvl>
    <w:lvl w:ilvl="5" w:tplc="01E062A8" w:tentative="1">
      <w:start w:val="1"/>
      <w:numFmt w:val="bullet"/>
      <w:lvlText w:val=""/>
      <w:lvlJc w:val="left"/>
      <w:pPr>
        <w:tabs>
          <w:tab w:val="num" w:pos="4668"/>
        </w:tabs>
        <w:ind w:left="4668" w:hanging="360"/>
      </w:pPr>
      <w:rPr>
        <w:rFonts w:ascii="Wingdings" w:hAnsi="Wingdings" w:hint="default"/>
      </w:rPr>
    </w:lvl>
    <w:lvl w:ilvl="6" w:tplc="499A2134" w:tentative="1">
      <w:start w:val="1"/>
      <w:numFmt w:val="bullet"/>
      <w:lvlText w:val=""/>
      <w:lvlJc w:val="left"/>
      <w:pPr>
        <w:tabs>
          <w:tab w:val="num" w:pos="5388"/>
        </w:tabs>
        <w:ind w:left="5388" w:hanging="360"/>
      </w:pPr>
      <w:rPr>
        <w:rFonts w:ascii="Wingdings" w:hAnsi="Wingdings" w:hint="default"/>
      </w:rPr>
    </w:lvl>
    <w:lvl w:ilvl="7" w:tplc="128289BC" w:tentative="1">
      <w:start w:val="1"/>
      <w:numFmt w:val="bullet"/>
      <w:lvlText w:val=""/>
      <w:lvlJc w:val="left"/>
      <w:pPr>
        <w:tabs>
          <w:tab w:val="num" w:pos="6108"/>
        </w:tabs>
        <w:ind w:left="6108" w:hanging="360"/>
      </w:pPr>
      <w:rPr>
        <w:rFonts w:ascii="Wingdings" w:hAnsi="Wingdings" w:hint="default"/>
      </w:rPr>
    </w:lvl>
    <w:lvl w:ilvl="8" w:tplc="5CEE99D2"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65F5203"/>
    <w:multiLevelType w:val="hybridMultilevel"/>
    <w:tmpl w:val="EC82EF58"/>
    <w:lvl w:ilvl="0" w:tplc="E2162C6E">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2B7BF0"/>
    <w:multiLevelType w:val="hybridMultilevel"/>
    <w:tmpl w:val="501E015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2C6C6BBB"/>
    <w:multiLevelType w:val="hybridMultilevel"/>
    <w:tmpl w:val="6E542B4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9B1303"/>
    <w:multiLevelType w:val="hybridMultilevel"/>
    <w:tmpl w:val="02A8536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5C68DA"/>
    <w:multiLevelType w:val="multilevel"/>
    <w:tmpl w:val="8BD4A8FA"/>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BB25828"/>
    <w:multiLevelType w:val="hybridMultilevel"/>
    <w:tmpl w:val="90A8153C"/>
    <w:lvl w:ilvl="0" w:tplc="27E01C86">
      <w:start w:val="1"/>
      <w:numFmt w:val="bullet"/>
      <w:lvlText w:val="•"/>
      <w:lvlJc w:val="left"/>
      <w:pPr>
        <w:tabs>
          <w:tab w:val="num" w:pos="720"/>
        </w:tabs>
        <w:ind w:left="720" w:hanging="360"/>
      </w:pPr>
      <w:rPr>
        <w:rFonts w:ascii="Arial" w:hAnsi="Arial" w:hint="default"/>
      </w:rPr>
    </w:lvl>
    <w:lvl w:ilvl="1" w:tplc="800A805C" w:tentative="1">
      <w:start w:val="1"/>
      <w:numFmt w:val="bullet"/>
      <w:lvlText w:val="•"/>
      <w:lvlJc w:val="left"/>
      <w:pPr>
        <w:tabs>
          <w:tab w:val="num" w:pos="1440"/>
        </w:tabs>
        <w:ind w:left="1440" w:hanging="360"/>
      </w:pPr>
      <w:rPr>
        <w:rFonts w:ascii="Arial" w:hAnsi="Arial" w:hint="default"/>
      </w:rPr>
    </w:lvl>
    <w:lvl w:ilvl="2" w:tplc="AFD2B02C" w:tentative="1">
      <w:start w:val="1"/>
      <w:numFmt w:val="bullet"/>
      <w:lvlText w:val="•"/>
      <w:lvlJc w:val="left"/>
      <w:pPr>
        <w:tabs>
          <w:tab w:val="num" w:pos="2160"/>
        </w:tabs>
        <w:ind w:left="2160" w:hanging="360"/>
      </w:pPr>
      <w:rPr>
        <w:rFonts w:ascii="Arial" w:hAnsi="Arial" w:hint="default"/>
      </w:rPr>
    </w:lvl>
    <w:lvl w:ilvl="3" w:tplc="F8FA156E" w:tentative="1">
      <w:start w:val="1"/>
      <w:numFmt w:val="bullet"/>
      <w:lvlText w:val="•"/>
      <w:lvlJc w:val="left"/>
      <w:pPr>
        <w:tabs>
          <w:tab w:val="num" w:pos="2880"/>
        </w:tabs>
        <w:ind w:left="2880" w:hanging="360"/>
      </w:pPr>
      <w:rPr>
        <w:rFonts w:ascii="Arial" w:hAnsi="Arial" w:hint="default"/>
      </w:rPr>
    </w:lvl>
    <w:lvl w:ilvl="4" w:tplc="8C867868" w:tentative="1">
      <w:start w:val="1"/>
      <w:numFmt w:val="bullet"/>
      <w:lvlText w:val="•"/>
      <w:lvlJc w:val="left"/>
      <w:pPr>
        <w:tabs>
          <w:tab w:val="num" w:pos="3600"/>
        </w:tabs>
        <w:ind w:left="3600" w:hanging="360"/>
      </w:pPr>
      <w:rPr>
        <w:rFonts w:ascii="Arial" w:hAnsi="Arial" w:hint="default"/>
      </w:rPr>
    </w:lvl>
    <w:lvl w:ilvl="5" w:tplc="B6D0D9AA" w:tentative="1">
      <w:start w:val="1"/>
      <w:numFmt w:val="bullet"/>
      <w:lvlText w:val="•"/>
      <w:lvlJc w:val="left"/>
      <w:pPr>
        <w:tabs>
          <w:tab w:val="num" w:pos="4320"/>
        </w:tabs>
        <w:ind w:left="4320" w:hanging="360"/>
      </w:pPr>
      <w:rPr>
        <w:rFonts w:ascii="Arial" w:hAnsi="Arial" w:hint="default"/>
      </w:rPr>
    </w:lvl>
    <w:lvl w:ilvl="6" w:tplc="C9BEFEB4" w:tentative="1">
      <w:start w:val="1"/>
      <w:numFmt w:val="bullet"/>
      <w:lvlText w:val="•"/>
      <w:lvlJc w:val="left"/>
      <w:pPr>
        <w:tabs>
          <w:tab w:val="num" w:pos="5040"/>
        </w:tabs>
        <w:ind w:left="5040" w:hanging="360"/>
      </w:pPr>
      <w:rPr>
        <w:rFonts w:ascii="Arial" w:hAnsi="Arial" w:hint="default"/>
      </w:rPr>
    </w:lvl>
    <w:lvl w:ilvl="7" w:tplc="DBE2ECB4" w:tentative="1">
      <w:start w:val="1"/>
      <w:numFmt w:val="bullet"/>
      <w:lvlText w:val="•"/>
      <w:lvlJc w:val="left"/>
      <w:pPr>
        <w:tabs>
          <w:tab w:val="num" w:pos="5760"/>
        </w:tabs>
        <w:ind w:left="5760" w:hanging="360"/>
      </w:pPr>
      <w:rPr>
        <w:rFonts w:ascii="Arial" w:hAnsi="Arial" w:hint="default"/>
      </w:rPr>
    </w:lvl>
    <w:lvl w:ilvl="8" w:tplc="6D2A698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D26AB2"/>
    <w:multiLevelType w:val="multilevel"/>
    <w:tmpl w:val="CDB64CE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44F41007"/>
    <w:multiLevelType w:val="hybridMultilevel"/>
    <w:tmpl w:val="9C84E1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043B2C"/>
    <w:multiLevelType w:val="hybridMultilevel"/>
    <w:tmpl w:val="AB1497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4BDC7F83"/>
    <w:multiLevelType w:val="hybridMultilevel"/>
    <w:tmpl w:val="DA0EE54A"/>
    <w:lvl w:ilvl="0" w:tplc="0BECDE26">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C029DC"/>
    <w:multiLevelType w:val="hybridMultilevel"/>
    <w:tmpl w:val="50DC5716"/>
    <w:lvl w:ilvl="0" w:tplc="6622A762">
      <w:start w:val="1"/>
      <w:numFmt w:val="bullet"/>
      <w:lvlText w:val="•"/>
      <w:lvlJc w:val="left"/>
      <w:pPr>
        <w:tabs>
          <w:tab w:val="num" w:pos="1068"/>
        </w:tabs>
        <w:ind w:left="1068" w:hanging="360"/>
      </w:pPr>
      <w:rPr>
        <w:rFonts w:ascii="Arial" w:hAnsi="Arial" w:hint="default"/>
      </w:rPr>
    </w:lvl>
    <w:lvl w:ilvl="1" w:tplc="EE72201A" w:tentative="1">
      <w:start w:val="1"/>
      <w:numFmt w:val="bullet"/>
      <w:lvlText w:val="•"/>
      <w:lvlJc w:val="left"/>
      <w:pPr>
        <w:tabs>
          <w:tab w:val="num" w:pos="1788"/>
        </w:tabs>
        <w:ind w:left="1788" w:hanging="360"/>
      </w:pPr>
      <w:rPr>
        <w:rFonts w:ascii="Arial" w:hAnsi="Arial" w:hint="default"/>
      </w:rPr>
    </w:lvl>
    <w:lvl w:ilvl="2" w:tplc="ECD0877E" w:tentative="1">
      <w:start w:val="1"/>
      <w:numFmt w:val="bullet"/>
      <w:lvlText w:val="•"/>
      <w:lvlJc w:val="left"/>
      <w:pPr>
        <w:tabs>
          <w:tab w:val="num" w:pos="2508"/>
        </w:tabs>
        <w:ind w:left="2508" w:hanging="360"/>
      </w:pPr>
      <w:rPr>
        <w:rFonts w:ascii="Arial" w:hAnsi="Arial" w:hint="default"/>
      </w:rPr>
    </w:lvl>
    <w:lvl w:ilvl="3" w:tplc="77B26A4E" w:tentative="1">
      <w:start w:val="1"/>
      <w:numFmt w:val="bullet"/>
      <w:lvlText w:val="•"/>
      <w:lvlJc w:val="left"/>
      <w:pPr>
        <w:tabs>
          <w:tab w:val="num" w:pos="3228"/>
        </w:tabs>
        <w:ind w:left="3228" w:hanging="360"/>
      </w:pPr>
      <w:rPr>
        <w:rFonts w:ascii="Arial" w:hAnsi="Arial" w:hint="default"/>
      </w:rPr>
    </w:lvl>
    <w:lvl w:ilvl="4" w:tplc="C916D2DA" w:tentative="1">
      <w:start w:val="1"/>
      <w:numFmt w:val="bullet"/>
      <w:lvlText w:val="•"/>
      <w:lvlJc w:val="left"/>
      <w:pPr>
        <w:tabs>
          <w:tab w:val="num" w:pos="3948"/>
        </w:tabs>
        <w:ind w:left="3948" w:hanging="360"/>
      </w:pPr>
      <w:rPr>
        <w:rFonts w:ascii="Arial" w:hAnsi="Arial" w:hint="default"/>
      </w:rPr>
    </w:lvl>
    <w:lvl w:ilvl="5" w:tplc="6E1478C4" w:tentative="1">
      <w:start w:val="1"/>
      <w:numFmt w:val="bullet"/>
      <w:lvlText w:val="•"/>
      <w:lvlJc w:val="left"/>
      <w:pPr>
        <w:tabs>
          <w:tab w:val="num" w:pos="4668"/>
        </w:tabs>
        <w:ind w:left="4668" w:hanging="360"/>
      </w:pPr>
      <w:rPr>
        <w:rFonts w:ascii="Arial" w:hAnsi="Arial" w:hint="default"/>
      </w:rPr>
    </w:lvl>
    <w:lvl w:ilvl="6" w:tplc="7EE80A88" w:tentative="1">
      <w:start w:val="1"/>
      <w:numFmt w:val="bullet"/>
      <w:lvlText w:val="•"/>
      <w:lvlJc w:val="left"/>
      <w:pPr>
        <w:tabs>
          <w:tab w:val="num" w:pos="5388"/>
        </w:tabs>
        <w:ind w:left="5388" w:hanging="360"/>
      </w:pPr>
      <w:rPr>
        <w:rFonts w:ascii="Arial" w:hAnsi="Arial" w:hint="default"/>
      </w:rPr>
    </w:lvl>
    <w:lvl w:ilvl="7" w:tplc="6D306C38" w:tentative="1">
      <w:start w:val="1"/>
      <w:numFmt w:val="bullet"/>
      <w:lvlText w:val="•"/>
      <w:lvlJc w:val="left"/>
      <w:pPr>
        <w:tabs>
          <w:tab w:val="num" w:pos="6108"/>
        </w:tabs>
        <w:ind w:left="6108" w:hanging="360"/>
      </w:pPr>
      <w:rPr>
        <w:rFonts w:ascii="Arial" w:hAnsi="Arial" w:hint="default"/>
      </w:rPr>
    </w:lvl>
    <w:lvl w:ilvl="8" w:tplc="34EC88A4" w:tentative="1">
      <w:start w:val="1"/>
      <w:numFmt w:val="bullet"/>
      <w:lvlText w:val="•"/>
      <w:lvlJc w:val="left"/>
      <w:pPr>
        <w:tabs>
          <w:tab w:val="num" w:pos="6828"/>
        </w:tabs>
        <w:ind w:left="6828" w:hanging="360"/>
      </w:pPr>
      <w:rPr>
        <w:rFonts w:ascii="Arial" w:hAnsi="Arial" w:hint="default"/>
      </w:rPr>
    </w:lvl>
  </w:abstractNum>
  <w:abstractNum w:abstractNumId="24" w15:restartNumberingAfterBreak="0">
    <w:nsid w:val="4D296385"/>
    <w:multiLevelType w:val="hybridMultilevel"/>
    <w:tmpl w:val="48FC50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BC4508"/>
    <w:multiLevelType w:val="hybridMultilevel"/>
    <w:tmpl w:val="ADC62E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FE849DF"/>
    <w:multiLevelType w:val="multilevel"/>
    <w:tmpl w:val="75666172"/>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1822047"/>
    <w:multiLevelType w:val="hybridMultilevel"/>
    <w:tmpl w:val="F3BAA814"/>
    <w:styleLink w:val="WWNum145"/>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4A2AC5"/>
    <w:multiLevelType w:val="hybridMultilevel"/>
    <w:tmpl w:val="11C068B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5F719AF"/>
    <w:multiLevelType w:val="hybridMultilevel"/>
    <w:tmpl w:val="8116B924"/>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15:restartNumberingAfterBreak="0">
    <w:nsid w:val="642E173B"/>
    <w:multiLevelType w:val="hybridMultilevel"/>
    <w:tmpl w:val="159A265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6C2B0506"/>
    <w:multiLevelType w:val="hybridMultilevel"/>
    <w:tmpl w:val="CAC47D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CD86CFA"/>
    <w:multiLevelType w:val="hybridMultilevel"/>
    <w:tmpl w:val="3A7293A8"/>
    <w:lvl w:ilvl="0" w:tplc="041A000B">
      <w:start w:val="1"/>
      <w:numFmt w:val="bullet"/>
      <w:lvlText w:val=""/>
      <w:lvlJc w:val="left"/>
      <w:pPr>
        <w:ind w:left="1428" w:hanging="360"/>
      </w:pPr>
      <w:rPr>
        <w:rFonts w:ascii="Wingdings" w:hAnsi="Wingding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3" w15:restartNumberingAfterBreak="0">
    <w:nsid w:val="6D407CB0"/>
    <w:multiLevelType w:val="hybridMultilevel"/>
    <w:tmpl w:val="87B2436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E0652F"/>
    <w:multiLevelType w:val="hybridMultilevel"/>
    <w:tmpl w:val="A94AFA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32538A"/>
    <w:multiLevelType w:val="hybridMultilevel"/>
    <w:tmpl w:val="34D8947A"/>
    <w:lvl w:ilvl="0" w:tplc="31DADABA">
      <w:start w:val="3"/>
      <w:numFmt w:val="bullet"/>
      <w:lvlText w:val="-"/>
      <w:lvlJc w:val="left"/>
      <w:pPr>
        <w:ind w:left="720" w:hanging="360"/>
      </w:pPr>
      <w:rPr>
        <w:rFonts w:ascii="Tahoma" w:eastAsia="Times New Roman" w:hAnsi="Tahoma" w:cs="Tahom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AE5E51"/>
    <w:multiLevelType w:val="hybridMultilevel"/>
    <w:tmpl w:val="DBBC778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7" w15:restartNumberingAfterBreak="0">
    <w:nsid w:val="7D55015C"/>
    <w:multiLevelType w:val="hybridMultilevel"/>
    <w:tmpl w:val="B5E8F6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2"/>
  </w:num>
  <w:num w:numId="4">
    <w:abstractNumId w:val="23"/>
  </w:num>
  <w:num w:numId="5">
    <w:abstractNumId w:val="18"/>
  </w:num>
  <w:num w:numId="6">
    <w:abstractNumId w:val="8"/>
  </w:num>
  <w:num w:numId="7">
    <w:abstractNumId w:val="25"/>
  </w:num>
  <w:num w:numId="8">
    <w:abstractNumId w:val="10"/>
  </w:num>
  <w:num w:numId="9">
    <w:abstractNumId w:val="3"/>
  </w:num>
  <w:num w:numId="10">
    <w:abstractNumId w:val="27"/>
  </w:num>
  <w:num w:numId="11">
    <w:abstractNumId w:val="14"/>
  </w:num>
  <w:num w:numId="12">
    <w:abstractNumId w:val="21"/>
  </w:num>
  <w:num w:numId="13">
    <w:abstractNumId w:val="0"/>
  </w:num>
  <w:num w:numId="14">
    <w:abstractNumId w:val="7"/>
  </w:num>
  <w:num w:numId="15">
    <w:abstractNumId w:val="34"/>
  </w:num>
  <w:num w:numId="16">
    <w:abstractNumId w:val="13"/>
  </w:num>
  <w:num w:numId="17">
    <w:abstractNumId w:val="28"/>
  </w:num>
  <w:num w:numId="18">
    <w:abstractNumId w:val="9"/>
  </w:num>
  <w:num w:numId="19">
    <w:abstractNumId w:val="29"/>
  </w:num>
  <w:num w:numId="20">
    <w:abstractNumId w:val="32"/>
  </w:num>
  <w:num w:numId="21">
    <w:abstractNumId w:val="30"/>
  </w:num>
  <w:num w:numId="22">
    <w:abstractNumId w:val="20"/>
  </w:num>
  <w:num w:numId="23">
    <w:abstractNumId w:val="36"/>
  </w:num>
  <w:num w:numId="24">
    <w:abstractNumId w:val="11"/>
  </w:num>
  <w:num w:numId="25">
    <w:abstractNumId w:val="6"/>
  </w:num>
  <w:num w:numId="26">
    <w:abstractNumId w:val="4"/>
  </w:num>
  <w:num w:numId="27">
    <w:abstractNumId w:val="5"/>
  </w:num>
  <w:num w:numId="28">
    <w:abstractNumId w:val="35"/>
  </w:num>
  <w:num w:numId="29">
    <w:abstractNumId w:val="37"/>
  </w:num>
  <w:num w:numId="30">
    <w:abstractNumId w:val="33"/>
  </w:num>
  <w:num w:numId="31">
    <w:abstractNumId w:val="16"/>
  </w:num>
  <w:num w:numId="32">
    <w:abstractNumId w:val="24"/>
  </w:num>
  <w:num w:numId="33">
    <w:abstractNumId w:val="15"/>
  </w:num>
  <w:num w:numId="34">
    <w:abstractNumId w:val="31"/>
  </w:num>
  <w:num w:numId="35">
    <w:abstractNumId w:val="2"/>
  </w:num>
  <w:num w:numId="36">
    <w:abstractNumId w:val="17"/>
  </w:num>
  <w:num w:numId="37">
    <w:abstractNumId w:val="26"/>
  </w:num>
  <w:num w:numId="38">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cryptProviderType="rsaAES" w:cryptAlgorithmClass="hash" w:cryptAlgorithmType="typeAny" w:cryptAlgorithmSid="14" w:cryptSpinCount="100000" w:hash="pmgi8gUZTY9BJQKNpqb4nrlwNAdjeuopwhn3P7KTJSxyc8N/Mh5S+byi3v2EC0vuE+s85f4HHa00sTqOQWsdRA==" w:salt="6xvBxVb5JaKTfgDdGGPE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B6"/>
    <w:rsid w:val="0000456C"/>
    <w:rsid w:val="000103F7"/>
    <w:rsid w:val="0001051C"/>
    <w:rsid w:val="0001108D"/>
    <w:rsid w:val="00016D07"/>
    <w:rsid w:val="00016F4A"/>
    <w:rsid w:val="00020716"/>
    <w:rsid w:val="00024339"/>
    <w:rsid w:val="000318F3"/>
    <w:rsid w:val="00034C40"/>
    <w:rsid w:val="000359F1"/>
    <w:rsid w:val="00044F14"/>
    <w:rsid w:val="0005511A"/>
    <w:rsid w:val="00064153"/>
    <w:rsid w:val="00066097"/>
    <w:rsid w:val="000721BF"/>
    <w:rsid w:val="0007395B"/>
    <w:rsid w:val="000744AB"/>
    <w:rsid w:val="00075787"/>
    <w:rsid w:val="00076903"/>
    <w:rsid w:val="000805B2"/>
    <w:rsid w:val="000875BB"/>
    <w:rsid w:val="00092BB7"/>
    <w:rsid w:val="00095167"/>
    <w:rsid w:val="000A08C1"/>
    <w:rsid w:val="000A277E"/>
    <w:rsid w:val="000A6A08"/>
    <w:rsid w:val="000B09EA"/>
    <w:rsid w:val="000B5B60"/>
    <w:rsid w:val="000C281D"/>
    <w:rsid w:val="000C45AB"/>
    <w:rsid w:val="000C57D0"/>
    <w:rsid w:val="000D4E28"/>
    <w:rsid w:val="000E0151"/>
    <w:rsid w:val="000E0302"/>
    <w:rsid w:val="000E6264"/>
    <w:rsid w:val="000F5393"/>
    <w:rsid w:val="000F5DE9"/>
    <w:rsid w:val="000F70FE"/>
    <w:rsid w:val="000F7D2F"/>
    <w:rsid w:val="00102BD5"/>
    <w:rsid w:val="0010371B"/>
    <w:rsid w:val="00111EAE"/>
    <w:rsid w:val="001135C4"/>
    <w:rsid w:val="00113A35"/>
    <w:rsid w:val="001154E5"/>
    <w:rsid w:val="00124BC0"/>
    <w:rsid w:val="00126AB7"/>
    <w:rsid w:val="00132D30"/>
    <w:rsid w:val="00134AC8"/>
    <w:rsid w:val="00140F38"/>
    <w:rsid w:val="001454B2"/>
    <w:rsid w:val="001470BD"/>
    <w:rsid w:val="00150743"/>
    <w:rsid w:val="0015108C"/>
    <w:rsid w:val="00153D8A"/>
    <w:rsid w:val="0015762C"/>
    <w:rsid w:val="00161F95"/>
    <w:rsid w:val="00162C2F"/>
    <w:rsid w:val="00166406"/>
    <w:rsid w:val="00174A1D"/>
    <w:rsid w:val="00180163"/>
    <w:rsid w:val="00182409"/>
    <w:rsid w:val="00195480"/>
    <w:rsid w:val="0019779A"/>
    <w:rsid w:val="001A0450"/>
    <w:rsid w:val="001A0699"/>
    <w:rsid w:val="001A7C3B"/>
    <w:rsid w:val="001B1434"/>
    <w:rsid w:val="001B55F2"/>
    <w:rsid w:val="001C3BCB"/>
    <w:rsid w:val="001C4490"/>
    <w:rsid w:val="001D2C94"/>
    <w:rsid w:val="001D7BAF"/>
    <w:rsid w:val="001E092B"/>
    <w:rsid w:val="001E480E"/>
    <w:rsid w:val="001E4F9A"/>
    <w:rsid w:val="001F34C6"/>
    <w:rsid w:val="00200143"/>
    <w:rsid w:val="002104DD"/>
    <w:rsid w:val="00220B0F"/>
    <w:rsid w:val="002341DC"/>
    <w:rsid w:val="00235D05"/>
    <w:rsid w:val="0025454E"/>
    <w:rsid w:val="00270B12"/>
    <w:rsid w:val="00271506"/>
    <w:rsid w:val="00271964"/>
    <w:rsid w:val="002734E9"/>
    <w:rsid w:val="0027551C"/>
    <w:rsid w:val="00285709"/>
    <w:rsid w:val="0028666C"/>
    <w:rsid w:val="00286E66"/>
    <w:rsid w:val="00293EFB"/>
    <w:rsid w:val="002B1302"/>
    <w:rsid w:val="002B3D88"/>
    <w:rsid w:val="002C2EB1"/>
    <w:rsid w:val="002C404D"/>
    <w:rsid w:val="002C679D"/>
    <w:rsid w:val="002D1AE6"/>
    <w:rsid w:val="002D4E13"/>
    <w:rsid w:val="002E1D4D"/>
    <w:rsid w:val="002E4D74"/>
    <w:rsid w:val="002F3C43"/>
    <w:rsid w:val="002F7D2D"/>
    <w:rsid w:val="00301360"/>
    <w:rsid w:val="00302A4C"/>
    <w:rsid w:val="00306AFF"/>
    <w:rsid w:val="00314618"/>
    <w:rsid w:val="0032050E"/>
    <w:rsid w:val="00320F66"/>
    <w:rsid w:val="00323BD3"/>
    <w:rsid w:val="00331E00"/>
    <w:rsid w:val="00336F70"/>
    <w:rsid w:val="0035174D"/>
    <w:rsid w:val="003519AE"/>
    <w:rsid w:val="00352A74"/>
    <w:rsid w:val="0035555E"/>
    <w:rsid w:val="00355D7B"/>
    <w:rsid w:val="00364243"/>
    <w:rsid w:val="0037390A"/>
    <w:rsid w:val="00380725"/>
    <w:rsid w:val="003831CC"/>
    <w:rsid w:val="003841DD"/>
    <w:rsid w:val="00384C9C"/>
    <w:rsid w:val="00392DE6"/>
    <w:rsid w:val="003A09B6"/>
    <w:rsid w:val="003A70B7"/>
    <w:rsid w:val="003B3868"/>
    <w:rsid w:val="003B7531"/>
    <w:rsid w:val="003C1ECC"/>
    <w:rsid w:val="003D57B2"/>
    <w:rsid w:val="003D6D57"/>
    <w:rsid w:val="003E1B53"/>
    <w:rsid w:val="003E5906"/>
    <w:rsid w:val="003E778C"/>
    <w:rsid w:val="00402767"/>
    <w:rsid w:val="00404756"/>
    <w:rsid w:val="00404E9E"/>
    <w:rsid w:val="00414BF0"/>
    <w:rsid w:val="004151A0"/>
    <w:rsid w:val="00427F7D"/>
    <w:rsid w:val="00430627"/>
    <w:rsid w:val="0043357B"/>
    <w:rsid w:val="00433CD9"/>
    <w:rsid w:val="00440CD2"/>
    <w:rsid w:val="00440EB3"/>
    <w:rsid w:val="0044673D"/>
    <w:rsid w:val="0045148C"/>
    <w:rsid w:val="00460755"/>
    <w:rsid w:val="0046452B"/>
    <w:rsid w:val="004649F8"/>
    <w:rsid w:val="00472D4A"/>
    <w:rsid w:val="004775A1"/>
    <w:rsid w:val="0048069C"/>
    <w:rsid w:val="004832B5"/>
    <w:rsid w:val="00492C86"/>
    <w:rsid w:val="00497053"/>
    <w:rsid w:val="00497C56"/>
    <w:rsid w:val="004A6541"/>
    <w:rsid w:val="004B0CAC"/>
    <w:rsid w:val="004B1948"/>
    <w:rsid w:val="004B199B"/>
    <w:rsid w:val="004B2BF5"/>
    <w:rsid w:val="004C1567"/>
    <w:rsid w:val="004C2808"/>
    <w:rsid w:val="004C28A2"/>
    <w:rsid w:val="004C43D3"/>
    <w:rsid w:val="004C68E7"/>
    <w:rsid w:val="004D172F"/>
    <w:rsid w:val="004E4BB5"/>
    <w:rsid w:val="004E6528"/>
    <w:rsid w:val="004E7BA1"/>
    <w:rsid w:val="004F3FCB"/>
    <w:rsid w:val="004F6E5F"/>
    <w:rsid w:val="005035C6"/>
    <w:rsid w:val="00503E08"/>
    <w:rsid w:val="0050539F"/>
    <w:rsid w:val="00506286"/>
    <w:rsid w:val="005132A8"/>
    <w:rsid w:val="00516FC7"/>
    <w:rsid w:val="00520397"/>
    <w:rsid w:val="00531E35"/>
    <w:rsid w:val="00547EE0"/>
    <w:rsid w:val="005535A1"/>
    <w:rsid w:val="005730AD"/>
    <w:rsid w:val="00576A0D"/>
    <w:rsid w:val="00581473"/>
    <w:rsid w:val="0058269F"/>
    <w:rsid w:val="005927E6"/>
    <w:rsid w:val="005A2B7A"/>
    <w:rsid w:val="005A4F8B"/>
    <w:rsid w:val="005B0AF4"/>
    <w:rsid w:val="005B2E02"/>
    <w:rsid w:val="005B50B2"/>
    <w:rsid w:val="005C3881"/>
    <w:rsid w:val="005C4D79"/>
    <w:rsid w:val="005D48AF"/>
    <w:rsid w:val="005D4FDC"/>
    <w:rsid w:val="005D6742"/>
    <w:rsid w:val="005E0110"/>
    <w:rsid w:val="005E16BA"/>
    <w:rsid w:val="005E4005"/>
    <w:rsid w:val="005F5861"/>
    <w:rsid w:val="00600A9C"/>
    <w:rsid w:val="00607D62"/>
    <w:rsid w:val="00612AB3"/>
    <w:rsid w:val="006144AA"/>
    <w:rsid w:val="006200BC"/>
    <w:rsid w:val="00622E10"/>
    <w:rsid w:val="00625587"/>
    <w:rsid w:val="00634CDD"/>
    <w:rsid w:val="00641079"/>
    <w:rsid w:val="00641832"/>
    <w:rsid w:val="00662797"/>
    <w:rsid w:val="00672018"/>
    <w:rsid w:val="00675A0C"/>
    <w:rsid w:val="0069367A"/>
    <w:rsid w:val="006973B7"/>
    <w:rsid w:val="006A3202"/>
    <w:rsid w:val="006A4244"/>
    <w:rsid w:val="006A7E4D"/>
    <w:rsid w:val="006B1FE5"/>
    <w:rsid w:val="006B4D69"/>
    <w:rsid w:val="006B629D"/>
    <w:rsid w:val="006B6FAE"/>
    <w:rsid w:val="006C0599"/>
    <w:rsid w:val="006C73F1"/>
    <w:rsid w:val="006D40F6"/>
    <w:rsid w:val="006D50FC"/>
    <w:rsid w:val="006E3EE7"/>
    <w:rsid w:val="006E7D4F"/>
    <w:rsid w:val="006F2062"/>
    <w:rsid w:val="006F3CCC"/>
    <w:rsid w:val="006F7546"/>
    <w:rsid w:val="00711AE4"/>
    <w:rsid w:val="00715A49"/>
    <w:rsid w:val="00750FE0"/>
    <w:rsid w:val="00753626"/>
    <w:rsid w:val="007713C7"/>
    <w:rsid w:val="0077789D"/>
    <w:rsid w:val="00782DCA"/>
    <w:rsid w:val="00790489"/>
    <w:rsid w:val="00794197"/>
    <w:rsid w:val="00796A4E"/>
    <w:rsid w:val="007A136F"/>
    <w:rsid w:val="007A598F"/>
    <w:rsid w:val="007B2385"/>
    <w:rsid w:val="007B36B2"/>
    <w:rsid w:val="007B5CB8"/>
    <w:rsid w:val="007C3C22"/>
    <w:rsid w:val="007C3E42"/>
    <w:rsid w:val="007C3ECB"/>
    <w:rsid w:val="007C68D4"/>
    <w:rsid w:val="007D451C"/>
    <w:rsid w:val="007D7217"/>
    <w:rsid w:val="007E3BC5"/>
    <w:rsid w:val="007E4200"/>
    <w:rsid w:val="007E5D3A"/>
    <w:rsid w:val="007F4173"/>
    <w:rsid w:val="007F68A7"/>
    <w:rsid w:val="00804D2B"/>
    <w:rsid w:val="00813033"/>
    <w:rsid w:val="00817E04"/>
    <w:rsid w:val="008303D7"/>
    <w:rsid w:val="00830F83"/>
    <w:rsid w:val="0083397F"/>
    <w:rsid w:val="00845295"/>
    <w:rsid w:val="00857F8B"/>
    <w:rsid w:val="0086184C"/>
    <w:rsid w:val="0086490C"/>
    <w:rsid w:val="0086617A"/>
    <w:rsid w:val="008717ED"/>
    <w:rsid w:val="008747F2"/>
    <w:rsid w:val="00874B4B"/>
    <w:rsid w:val="0088111F"/>
    <w:rsid w:val="00881E67"/>
    <w:rsid w:val="00885FF8"/>
    <w:rsid w:val="00891CE9"/>
    <w:rsid w:val="008929AE"/>
    <w:rsid w:val="0089425A"/>
    <w:rsid w:val="00896BB8"/>
    <w:rsid w:val="008B4416"/>
    <w:rsid w:val="008C423D"/>
    <w:rsid w:val="008C6613"/>
    <w:rsid w:val="008C6FA9"/>
    <w:rsid w:val="008C7D56"/>
    <w:rsid w:val="008D05DC"/>
    <w:rsid w:val="008D1AD2"/>
    <w:rsid w:val="008D1F18"/>
    <w:rsid w:val="008D2756"/>
    <w:rsid w:val="008D6AC2"/>
    <w:rsid w:val="008F14C3"/>
    <w:rsid w:val="008F42F2"/>
    <w:rsid w:val="0090325C"/>
    <w:rsid w:val="00907801"/>
    <w:rsid w:val="00910508"/>
    <w:rsid w:val="00911F0E"/>
    <w:rsid w:val="009128F4"/>
    <w:rsid w:val="00923619"/>
    <w:rsid w:val="0092509E"/>
    <w:rsid w:val="00926E1F"/>
    <w:rsid w:val="00927248"/>
    <w:rsid w:val="00930D75"/>
    <w:rsid w:val="0093240A"/>
    <w:rsid w:val="00932A16"/>
    <w:rsid w:val="009343CC"/>
    <w:rsid w:val="009344DE"/>
    <w:rsid w:val="00934CB6"/>
    <w:rsid w:val="00936CFB"/>
    <w:rsid w:val="00940E27"/>
    <w:rsid w:val="009432F2"/>
    <w:rsid w:val="009440E6"/>
    <w:rsid w:val="00945258"/>
    <w:rsid w:val="009467EE"/>
    <w:rsid w:val="00952587"/>
    <w:rsid w:val="00961429"/>
    <w:rsid w:val="00961488"/>
    <w:rsid w:val="00962E5E"/>
    <w:rsid w:val="00963FC3"/>
    <w:rsid w:val="00965CE3"/>
    <w:rsid w:val="009707D7"/>
    <w:rsid w:val="00972D9D"/>
    <w:rsid w:val="00975526"/>
    <w:rsid w:val="00982489"/>
    <w:rsid w:val="00984231"/>
    <w:rsid w:val="00993980"/>
    <w:rsid w:val="00993CCA"/>
    <w:rsid w:val="00995B79"/>
    <w:rsid w:val="009A32ED"/>
    <w:rsid w:val="009A368B"/>
    <w:rsid w:val="009A3C19"/>
    <w:rsid w:val="009B3A8B"/>
    <w:rsid w:val="009C034E"/>
    <w:rsid w:val="009C271A"/>
    <w:rsid w:val="009D0BA8"/>
    <w:rsid w:val="009D15EC"/>
    <w:rsid w:val="009D17F6"/>
    <w:rsid w:val="009D41BE"/>
    <w:rsid w:val="009D565A"/>
    <w:rsid w:val="009E3615"/>
    <w:rsid w:val="009E65AE"/>
    <w:rsid w:val="009F191F"/>
    <w:rsid w:val="009F288C"/>
    <w:rsid w:val="009F37A3"/>
    <w:rsid w:val="009F400F"/>
    <w:rsid w:val="00A074FC"/>
    <w:rsid w:val="00A106A8"/>
    <w:rsid w:val="00A10D76"/>
    <w:rsid w:val="00A2037F"/>
    <w:rsid w:val="00A30C51"/>
    <w:rsid w:val="00A31472"/>
    <w:rsid w:val="00A47834"/>
    <w:rsid w:val="00A537A7"/>
    <w:rsid w:val="00A62621"/>
    <w:rsid w:val="00A62C05"/>
    <w:rsid w:val="00A62E45"/>
    <w:rsid w:val="00A655DC"/>
    <w:rsid w:val="00A66E10"/>
    <w:rsid w:val="00A7030B"/>
    <w:rsid w:val="00A72A9F"/>
    <w:rsid w:val="00A7523F"/>
    <w:rsid w:val="00A76241"/>
    <w:rsid w:val="00A77D85"/>
    <w:rsid w:val="00A84157"/>
    <w:rsid w:val="00A90608"/>
    <w:rsid w:val="00A9067D"/>
    <w:rsid w:val="00A956E1"/>
    <w:rsid w:val="00AA11A1"/>
    <w:rsid w:val="00AA20E4"/>
    <w:rsid w:val="00AA3E53"/>
    <w:rsid w:val="00AA6D44"/>
    <w:rsid w:val="00AB024D"/>
    <w:rsid w:val="00AC1DA9"/>
    <w:rsid w:val="00AE167C"/>
    <w:rsid w:val="00AF2559"/>
    <w:rsid w:val="00AF5C5D"/>
    <w:rsid w:val="00AF6269"/>
    <w:rsid w:val="00B00F5C"/>
    <w:rsid w:val="00B01A61"/>
    <w:rsid w:val="00B01DD7"/>
    <w:rsid w:val="00B02105"/>
    <w:rsid w:val="00B040B9"/>
    <w:rsid w:val="00B14CB3"/>
    <w:rsid w:val="00B17142"/>
    <w:rsid w:val="00B20829"/>
    <w:rsid w:val="00B24C10"/>
    <w:rsid w:val="00B26350"/>
    <w:rsid w:val="00B3315D"/>
    <w:rsid w:val="00B33380"/>
    <w:rsid w:val="00B36742"/>
    <w:rsid w:val="00B40715"/>
    <w:rsid w:val="00B44058"/>
    <w:rsid w:val="00B44DAE"/>
    <w:rsid w:val="00B45786"/>
    <w:rsid w:val="00B47E3F"/>
    <w:rsid w:val="00B500BA"/>
    <w:rsid w:val="00B54BFB"/>
    <w:rsid w:val="00B60E9B"/>
    <w:rsid w:val="00B6179B"/>
    <w:rsid w:val="00B65A29"/>
    <w:rsid w:val="00B74A17"/>
    <w:rsid w:val="00B7668A"/>
    <w:rsid w:val="00B80C78"/>
    <w:rsid w:val="00B87C15"/>
    <w:rsid w:val="00B91876"/>
    <w:rsid w:val="00B94B86"/>
    <w:rsid w:val="00BA189F"/>
    <w:rsid w:val="00BA29A6"/>
    <w:rsid w:val="00BA36DC"/>
    <w:rsid w:val="00BA663A"/>
    <w:rsid w:val="00BA6BB3"/>
    <w:rsid w:val="00BB0D9F"/>
    <w:rsid w:val="00BB249F"/>
    <w:rsid w:val="00BB2CE9"/>
    <w:rsid w:val="00BC1143"/>
    <w:rsid w:val="00BC4906"/>
    <w:rsid w:val="00BC4E04"/>
    <w:rsid w:val="00BE50E9"/>
    <w:rsid w:val="00BE69C0"/>
    <w:rsid w:val="00BF2390"/>
    <w:rsid w:val="00BF6FBD"/>
    <w:rsid w:val="00C04E1B"/>
    <w:rsid w:val="00C07919"/>
    <w:rsid w:val="00C202FA"/>
    <w:rsid w:val="00C32320"/>
    <w:rsid w:val="00C37135"/>
    <w:rsid w:val="00C44801"/>
    <w:rsid w:val="00C67DAC"/>
    <w:rsid w:val="00C751D1"/>
    <w:rsid w:val="00C77666"/>
    <w:rsid w:val="00C8142C"/>
    <w:rsid w:val="00C818C9"/>
    <w:rsid w:val="00C81C73"/>
    <w:rsid w:val="00C8274D"/>
    <w:rsid w:val="00C84D80"/>
    <w:rsid w:val="00C90EA7"/>
    <w:rsid w:val="00CA1A50"/>
    <w:rsid w:val="00CB05AE"/>
    <w:rsid w:val="00CB31BF"/>
    <w:rsid w:val="00CC2426"/>
    <w:rsid w:val="00CC25E4"/>
    <w:rsid w:val="00CC2795"/>
    <w:rsid w:val="00CC5F72"/>
    <w:rsid w:val="00CC6372"/>
    <w:rsid w:val="00CC716D"/>
    <w:rsid w:val="00CD208D"/>
    <w:rsid w:val="00CD37A9"/>
    <w:rsid w:val="00CE329A"/>
    <w:rsid w:val="00CF2861"/>
    <w:rsid w:val="00CF301E"/>
    <w:rsid w:val="00CF4AC4"/>
    <w:rsid w:val="00CF7035"/>
    <w:rsid w:val="00D04EB0"/>
    <w:rsid w:val="00D05438"/>
    <w:rsid w:val="00D12EDB"/>
    <w:rsid w:val="00D24FCA"/>
    <w:rsid w:val="00D2621B"/>
    <w:rsid w:val="00D267EF"/>
    <w:rsid w:val="00D27118"/>
    <w:rsid w:val="00D33B6E"/>
    <w:rsid w:val="00D34A6F"/>
    <w:rsid w:val="00D55B93"/>
    <w:rsid w:val="00D57AEF"/>
    <w:rsid w:val="00D6632E"/>
    <w:rsid w:val="00D70DB8"/>
    <w:rsid w:val="00D72AFB"/>
    <w:rsid w:val="00D72E68"/>
    <w:rsid w:val="00D8071F"/>
    <w:rsid w:val="00D94EDB"/>
    <w:rsid w:val="00DA5DDF"/>
    <w:rsid w:val="00DB3FF0"/>
    <w:rsid w:val="00DB7B8A"/>
    <w:rsid w:val="00DC1B20"/>
    <w:rsid w:val="00DC4331"/>
    <w:rsid w:val="00DD30CD"/>
    <w:rsid w:val="00DD604F"/>
    <w:rsid w:val="00DD72F8"/>
    <w:rsid w:val="00DE01EE"/>
    <w:rsid w:val="00DF30C8"/>
    <w:rsid w:val="00DF6C57"/>
    <w:rsid w:val="00E01EDF"/>
    <w:rsid w:val="00E107A4"/>
    <w:rsid w:val="00E22AD5"/>
    <w:rsid w:val="00E23DAE"/>
    <w:rsid w:val="00E26B8E"/>
    <w:rsid w:val="00E30D45"/>
    <w:rsid w:val="00E338AF"/>
    <w:rsid w:val="00E34B31"/>
    <w:rsid w:val="00E4340A"/>
    <w:rsid w:val="00E47536"/>
    <w:rsid w:val="00E52ABF"/>
    <w:rsid w:val="00E600B1"/>
    <w:rsid w:val="00E63F96"/>
    <w:rsid w:val="00E66F88"/>
    <w:rsid w:val="00E800DE"/>
    <w:rsid w:val="00E84819"/>
    <w:rsid w:val="00E91F4E"/>
    <w:rsid w:val="00E923DE"/>
    <w:rsid w:val="00E92A61"/>
    <w:rsid w:val="00E95497"/>
    <w:rsid w:val="00EB4C20"/>
    <w:rsid w:val="00EB7AD8"/>
    <w:rsid w:val="00ED231D"/>
    <w:rsid w:val="00ED6CCD"/>
    <w:rsid w:val="00EE08E5"/>
    <w:rsid w:val="00EE1093"/>
    <w:rsid w:val="00EE4706"/>
    <w:rsid w:val="00EF0401"/>
    <w:rsid w:val="00EF0B32"/>
    <w:rsid w:val="00EF24E9"/>
    <w:rsid w:val="00EF4847"/>
    <w:rsid w:val="00EF6039"/>
    <w:rsid w:val="00EF7DDE"/>
    <w:rsid w:val="00F00E03"/>
    <w:rsid w:val="00F04D7A"/>
    <w:rsid w:val="00F05949"/>
    <w:rsid w:val="00F103EF"/>
    <w:rsid w:val="00F265D6"/>
    <w:rsid w:val="00F36969"/>
    <w:rsid w:val="00F40EA7"/>
    <w:rsid w:val="00F50262"/>
    <w:rsid w:val="00F64F09"/>
    <w:rsid w:val="00F95454"/>
    <w:rsid w:val="00F95690"/>
    <w:rsid w:val="00F97D89"/>
    <w:rsid w:val="00FA6812"/>
    <w:rsid w:val="00FB123E"/>
    <w:rsid w:val="00FB4981"/>
    <w:rsid w:val="00FC4C96"/>
    <w:rsid w:val="00FC79DC"/>
    <w:rsid w:val="00FC7F81"/>
    <w:rsid w:val="00FD3803"/>
    <w:rsid w:val="00FD5337"/>
    <w:rsid w:val="00FD7A4B"/>
    <w:rsid w:val="00FD7A9C"/>
    <w:rsid w:val="00FF0362"/>
    <w:rsid w:val="00FF1971"/>
    <w:rsid w:val="00FF7A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BA4F9-45EA-42BD-BA03-07B46B31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0E6"/>
    <w:rPr>
      <w:rFonts w:ascii="Calibri" w:eastAsia="Times New Roman" w:hAnsi="Calibri" w:cs="Times New Roman"/>
      <w:lang w:eastAsia="hr-HR"/>
    </w:rPr>
  </w:style>
  <w:style w:type="paragraph" w:styleId="Heading1">
    <w:name w:val="heading 1"/>
    <w:basedOn w:val="Normal"/>
    <w:next w:val="Normal"/>
    <w:link w:val="Heading1Char"/>
    <w:uiPriority w:val="9"/>
    <w:qFormat/>
    <w:rsid w:val="003A09B6"/>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1B14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7B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9B6"/>
    <w:rPr>
      <w:rFonts w:ascii="Calibri Light" w:eastAsia="SimSun" w:hAnsi="Calibri Light" w:cs="Times New Roman"/>
      <w:color w:val="1F4E79"/>
      <w:sz w:val="36"/>
      <w:szCs w:val="36"/>
      <w:lang w:eastAsia="hr-HR"/>
    </w:rPr>
  </w:style>
  <w:style w:type="character" w:styleId="Hyperlink">
    <w:name w:val="Hyperlink"/>
    <w:uiPriority w:val="99"/>
    <w:rsid w:val="003A09B6"/>
    <w:rPr>
      <w:strike w:val="0"/>
      <w:dstrike w:val="0"/>
      <w:color w:val="CC0000"/>
      <w:u w:val="none"/>
      <w:effect w:val="none"/>
    </w:rPr>
  </w:style>
  <w:style w:type="paragraph" w:styleId="Header">
    <w:name w:val="header"/>
    <w:basedOn w:val="Normal"/>
    <w:link w:val="HeaderChar"/>
    <w:uiPriority w:val="99"/>
    <w:rsid w:val="003A09B6"/>
    <w:pPr>
      <w:tabs>
        <w:tab w:val="center" w:pos="4536"/>
        <w:tab w:val="right" w:pos="9072"/>
      </w:tabs>
    </w:pPr>
  </w:style>
  <w:style w:type="character" w:customStyle="1" w:styleId="HeaderChar">
    <w:name w:val="Header Char"/>
    <w:basedOn w:val="DefaultParagraphFont"/>
    <w:link w:val="Header"/>
    <w:uiPriority w:val="99"/>
    <w:rsid w:val="003A09B6"/>
    <w:rPr>
      <w:rFonts w:ascii="Calibri" w:eastAsia="Times New Roman" w:hAnsi="Calibri" w:cs="Times New Roman"/>
      <w:lang w:eastAsia="hr-HR"/>
    </w:rPr>
  </w:style>
  <w:style w:type="paragraph" w:styleId="Footer">
    <w:name w:val="footer"/>
    <w:basedOn w:val="Normal"/>
    <w:link w:val="FooterChar"/>
    <w:uiPriority w:val="99"/>
    <w:rsid w:val="003A09B6"/>
    <w:pPr>
      <w:tabs>
        <w:tab w:val="center" w:pos="4536"/>
        <w:tab w:val="right" w:pos="9072"/>
      </w:tabs>
    </w:pPr>
  </w:style>
  <w:style w:type="character" w:customStyle="1" w:styleId="FooterChar">
    <w:name w:val="Footer Char"/>
    <w:basedOn w:val="DefaultParagraphFont"/>
    <w:link w:val="Footer"/>
    <w:uiPriority w:val="99"/>
    <w:rsid w:val="003A09B6"/>
    <w:rPr>
      <w:rFonts w:ascii="Calibri" w:eastAsia="Times New Roman" w:hAnsi="Calibri" w:cs="Times New Roman"/>
      <w:lang w:eastAsia="hr-HR"/>
    </w:rPr>
  </w:style>
  <w:style w:type="character" w:styleId="PageNumber">
    <w:name w:val="page number"/>
    <w:basedOn w:val="DefaultParagraphFont"/>
    <w:rsid w:val="003A09B6"/>
  </w:style>
  <w:style w:type="paragraph" w:styleId="TOC1">
    <w:name w:val="toc 1"/>
    <w:basedOn w:val="Normal"/>
    <w:next w:val="Normal"/>
    <w:autoRedefine/>
    <w:uiPriority w:val="39"/>
    <w:rsid w:val="003A09B6"/>
    <w:pPr>
      <w:tabs>
        <w:tab w:val="left" w:pos="440"/>
        <w:tab w:val="right" w:leader="dot" w:pos="9639"/>
      </w:tabs>
    </w:pPr>
    <w:rPr>
      <w:rFonts w:cs="Calibri"/>
      <w:b/>
      <w:noProof/>
    </w:rPr>
  </w:style>
  <w:style w:type="paragraph" w:styleId="ListParagraph">
    <w:name w:val="List Paragraph"/>
    <w:basedOn w:val="Normal"/>
    <w:uiPriority w:val="34"/>
    <w:qFormat/>
    <w:rsid w:val="003A09B6"/>
    <w:pPr>
      <w:ind w:left="720"/>
      <w:contextualSpacing/>
    </w:pPr>
  </w:style>
  <w:style w:type="paragraph" w:styleId="NormalWeb">
    <w:name w:val="Normal (Web)"/>
    <w:basedOn w:val="Normal"/>
    <w:uiPriority w:val="99"/>
    <w:semiHidden/>
    <w:unhideWhenUsed/>
    <w:rsid w:val="004E652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qFormat/>
    <w:rsid w:val="00492C86"/>
    <w:rPr>
      <w:b/>
      <w:bCs/>
    </w:rPr>
  </w:style>
  <w:style w:type="character" w:customStyle="1" w:styleId="Heading3Char">
    <w:name w:val="Heading 3 Char"/>
    <w:basedOn w:val="DefaultParagraphFont"/>
    <w:link w:val="Heading3"/>
    <w:uiPriority w:val="9"/>
    <w:semiHidden/>
    <w:rsid w:val="001D7BAF"/>
    <w:rPr>
      <w:rFonts w:asciiTheme="majorHAnsi" w:eastAsiaTheme="majorEastAsia" w:hAnsiTheme="majorHAnsi" w:cstheme="majorBidi"/>
      <w:color w:val="1F3763" w:themeColor="accent1" w:themeShade="7F"/>
      <w:sz w:val="24"/>
      <w:szCs w:val="24"/>
      <w:lang w:eastAsia="hr-HR"/>
    </w:rPr>
  </w:style>
  <w:style w:type="paragraph" w:customStyle="1" w:styleId="Default">
    <w:name w:val="Default"/>
    <w:basedOn w:val="Normal"/>
    <w:rsid w:val="007713C7"/>
    <w:pPr>
      <w:autoSpaceDE w:val="0"/>
      <w:autoSpaceDN w:val="0"/>
      <w:spacing w:after="0" w:line="240" w:lineRule="auto"/>
    </w:pPr>
    <w:rPr>
      <w:rFonts w:ascii="Georgia" w:eastAsia="Calibri" w:hAnsi="Georgia"/>
      <w:color w:val="000000"/>
      <w:sz w:val="24"/>
      <w:szCs w:val="24"/>
      <w:lang w:eastAsia="en-US"/>
    </w:rPr>
  </w:style>
  <w:style w:type="character" w:customStyle="1" w:styleId="Heading2Char">
    <w:name w:val="Heading 2 Char"/>
    <w:basedOn w:val="DefaultParagraphFont"/>
    <w:link w:val="Heading2"/>
    <w:rsid w:val="001B1434"/>
    <w:rPr>
      <w:rFonts w:asciiTheme="majorHAnsi" w:eastAsiaTheme="majorEastAsia" w:hAnsiTheme="majorHAnsi" w:cstheme="majorBidi"/>
      <w:color w:val="2F5496" w:themeColor="accent1" w:themeShade="BF"/>
      <w:sz w:val="26"/>
      <w:szCs w:val="26"/>
      <w:lang w:eastAsia="hr-HR"/>
    </w:rPr>
  </w:style>
  <w:style w:type="paragraph" w:styleId="BodyText3">
    <w:name w:val="Body Text 3"/>
    <w:basedOn w:val="Normal"/>
    <w:link w:val="BodyText3Char"/>
    <w:rsid w:val="001B1434"/>
    <w:pPr>
      <w:tabs>
        <w:tab w:val="left" w:pos="284"/>
        <w:tab w:val="left" w:pos="567"/>
        <w:tab w:val="right" w:pos="9356"/>
      </w:tabs>
      <w:spacing w:after="0" w:line="240" w:lineRule="auto"/>
      <w:ind w:right="-142"/>
      <w:jc w:val="both"/>
    </w:pPr>
    <w:rPr>
      <w:rFonts w:ascii="Cambria" w:eastAsia="Tahoma" w:hAnsi="Cambria"/>
      <w:szCs w:val="20"/>
      <w:lang w:val="de-DE" w:eastAsia="x-none"/>
    </w:rPr>
  </w:style>
  <w:style w:type="character" w:customStyle="1" w:styleId="BodyText3Char">
    <w:name w:val="Body Text 3 Char"/>
    <w:basedOn w:val="DefaultParagraphFont"/>
    <w:link w:val="BodyText3"/>
    <w:rsid w:val="001B1434"/>
    <w:rPr>
      <w:rFonts w:ascii="Cambria" w:eastAsia="Tahoma" w:hAnsi="Cambria" w:cs="Times New Roman"/>
      <w:szCs w:val="20"/>
      <w:lang w:val="de-DE" w:eastAsia="x-none"/>
    </w:rPr>
  </w:style>
  <w:style w:type="character" w:styleId="Emphasis">
    <w:name w:val="Emphasis"/>
    <w:qFormat/>
    <w:rsid w:val="001B1434"/>
    <w:rPr>
      <w:i/>
      <w:iCs/>
    </w:rPr>
  </w:style>
  <w:style w:type="numbering" w:customStyle="1" w:styleId="WWNum145">
    <w:name w:val="WWNum145"/>
    <w:basedOn w:val="NoList"/>
    <w:rsid w:val="001B1434"/>
    <w:pPr>
      <w:numPr>
        <w:numId w:val="10"/>
      </w:numPr>
    </w:pPr>
  </w:style>
  <w:style w:type="paragraph" w:styleId="TOC2">
    <w:name w:val="toc 2"/>
    <w:basedOn w:val="Normal"/>
    <w:next w:val="Normal"/>
    <w:autoRedefine/>
    <w:uiPriority w:val="39"/>
    <w:unhideWhenUsed/>
    <w:rsid w:val="000C281D"/>
    <w:pPr>
      <w:spacing w:after="100"/>
      <w:ind w:left="220"/>
    </w:pPr>
  </w:style>
  <w:style w:type="paragraph" w:styleId="BalloonText">
    <w:name w:val="Balloon Text"/>
    <w:basedOn w:val="Normal"/>
    <w:link w:val="BalloonTextChar"/>
    <w:uiPriority w:val="99"/>
    <w:semiHidden/>
    <w:unhideWhenUsed/>
    <w:rsid w:val="00E10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7A4"/>
    <w:rPr>
      <w:rFonts w:ascii="Segoe UI" w:eastAsia="Times New Roman" w:hAnsi="Segoe UI" w:cs="Segoe UI"/>
      <w:sz w:val="18"/>
      <w:szCs w:val="18"/>
      <w:lang w:eastAsia="hr-HR"/>
    </w:rPr>
  </w:style>
  <w:style w:type="table" w:styleId="TableGrid">
    <w:name w:val="Table Grid"/>
    <w:basedOn w:val="TableNormal"/>
    <w:uiPriority w:val="39"/>
    <w:rsid w:val="0022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220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220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2-Accent5">
    <w:name w:val="Grid Table 2 Accent 5"/>
    <w:basedOn w:val="TableNormal"/>
    <w:uiPriority w:val="47"/>
    <w:rsid w:val="00220B0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20B0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220B0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1Light-Accent1">
    <w:name w:val="Grid Table 1 Light Accent 1"/>
    <w:basedOn w:val="TableNormal"/>
    <w:uiPriority w:val="46"/>
    <w:rsid w:val="00220B0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0317">
      <w:bodyDiv w:val="1"/>
      <w:marLeft w:val="0"/>
      <w:marRight w:val="0"/>
      <w:marTop w:val="0"/>
      <w:marBottom w:val="0"/>
      <w:divBdr>
        <w:top w:val="none" w:sz="0" w:space="0" w:color="auto"/>
        <w:left w:val="none" w:sz="0" w:space="0" w:color="auto"/>
        <w:bottom w:val="none" w:sz="0" w:space="0" w:color="auto"/>
        <w:right w:val="none" w:sz="0" w:space="0" w:color="auto"/>
      </w:divBdr>
    </w:div>
    <w:div w:id="97220118">
      <w:bodyDiv w:val="1"/>
      <w:marLeft w:val="0"/>
      <w:marRight w:val="0"/>
      <w:marTop w:val="0"/>
      <w:marBottom w:val="0"/>
      <w:divBdr>
        <w:top w:val="none" w:sz="0" w:space="0" w:color="auto"/>
        <w:left w:val="none" w:sz="0" w:space="0" w:color="auto"/>
        <w:bottom w:val="none" w:sz="0" w:space="0" w:color="auto"/>
        <w:right w:val="none" w:sz="0" w:space="0" w:color="auto"/>
      </w:divBdr>
      <w:divsChild>
        <w:div w:id="864757040">
          <w:marLeft w:val="0"/>
          <w:marRight w:val="0"/>
          <w:marTop w:val="0"/>
          <w:marBottom w:val="0"/>
          <w:divBdr>
            <w:top w:val="none" w:sz="0" w:space="0" w:color="auto"/>
            <w:left w:val="none" w:sz="0" w:space="0" w:color="auto"/>
            <w:bottom w:val="none" w:sz="0" w:space="0" w:color="auto"/>
            <w:right w:val="none" w:sz="0" w:space="0" w:color="auto"/>
          </w:divBdr>
          <w:divsChild>
            <w:div w:id="1329745430">
              <w:marLeft w:val="0"/>
              <w:marRight w:val="0"/>
              <w:marTop w:val="150"/>
              <w:marBottom w:val="0"/>
              <w:divBdr>
                <w:top w:val="none" w:sz="0" w:space="0" w:color="auto"/>
                <w:left w:val="none" w:sz="0" w:space="0" w:color="auto"/>
                <w:bottom w:val="none" w:sz="0" w:space="0" w:color="auto"/>
                <w:right w:val="none" w:sz="0" w:space="0" w:color="auto"/>
              </w:divBdr>
            </w:div>
          </w:divsChild>
        </w:div>
        <w:div w:id="1455170576">
          <w:marLeft w:val="0"/>
          <w:marRight w:val="0"/>
          <w:marTop w:val="0"/>
          <w:marBottom w:val="0"/>
          <w:divBdr>
            <w:top w:val="none" w:sz="0" w:space="0" w:color="auto"/>
            <w:left w:val="none" w:sz="0" w:space="0" w:color="auto"/>
            <w:bottom w:val="none" w:sz="0" w:space="0" w:color="auto"/>
            <w:right w:val="none" w:sz="0" w:space="0" w:color="auto"/>
          </w:divBdr>
          <w:divsChild>
            <w:div w:id="134874748">
              <w:marLeft w:val="0"/>
              <w:marRight w:val="0"/>
              <w:marTop w:val="150"/>
              <w:marBottom w:val="0"/>
              <w:divBdr>
                <w:top w:val="none" w:sz="0" w:space="0" w:color="auto"/>
                <w:left w:val="none" w:sz="0" w:space="0" w:color="auto"/>
                <w:bottom w:val="none" w:sz="0" w:space="0" w:color="auto"/>
                <w:right w:val="none" w:sz="0" w:space="0" w:color="auto"/>
              </w:divBdr>
            </w:div>
          </w:divsChild>
        </w:div>
        <w:div w:id="1798839691">
          <w:marLeft w:val="0"/>
          <w:marRight w:val="0"/>
          <w:marTop w:val="0"/>
          <w:marBottom w:val="0"/>
          <w:divBdr>
            <w:top w:val="none" w:sz="0" w:space="0" w:color="auto"/>
            <w:left w:val="none" w:sz="0" w:space="0" w:color="auto"/>
            <w:bottom w:val="none" w:sz="0" w:space="0" w:color="auto"/>
            <w:right w:val="none" w:sz="0" w:space="0" w:color="auto"/>
          </w:divBdr>
          <w:divsChild>
            <w:div w:id="8771662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1970777">
      <w:bodyDiv w:val="1"/>
      <w:marLeft w:val="0"/>
      <w:marRight w:val="0"/>
      <w:marTop w:val="0"/>
      <w:marBottom w:val="0"/>
      <w:divBdr>
        <w:top w:val="none" w:sz="0" w:space="0" w:color="auto"/>
        <w:left w:val="none" w:sz="0" w:space="0" w:color="auto"/>
        <w:bottom w:val="none" w:sz="0" w:space="0" w:color="auto"/>
        <w:right w:val="none" w:sz="0" w:space="0" w:color="auto"/>
      </w:divBdr>
      <w:divsChild>
        <w:div w:id="2103256767">
          <w:marLeft w:val="0"/>
          <w:marRight w:val="0"/>
          <w:marTop w:val="150"/>
          <w:marBottom w:val="0"/>
          <w:divBdr>
            <w:top w:val="none" w:sz="0" w:space="0" w:color="auto"/>
            <w:left w:val="none" w:sz="0" w:space="0" w:color="auto"/>
            <w:bottom w:val="none" w:sz="0" w:space="0" w:color="auto"/>
            <w:right w:val="none" w:sz="0" w:space="0" w:color="auto"/>
          </w:divBdr>
          <w:divsChild>
            <w:div w:id="79453704">
              <w:marLeft w:val="0"/>
              <w:marRight w:val="0"/>
              <w:marTop w:val="0"/>
              <w:marBottom w:val="0"/>
              <w:divBdr>
                <w:top w:val="none" w:sz="0" w:space="0" w:color="auto"/>
                <w:left w:val="none" w:sz="0" w:space="0" w:color="auto"/>
                <w:bottom w:val="none" w:sz="0" w:space="0" w:color="auto"/>
                <w:right w:val="none" w:sz="0" w:space="0" w:color="auto"/>
              </w:divBdr>
            </w:div>
            <w:div w:id="105007320">
              <w:marLeft w:val="0"/>
              <w:marRight w:val="0"/>
              <w:marTop w:val="0"/>
              <w:marBottom w:val="0"/>
              <w:divBdr>
                <w:top w:val="none" w:sz="0" w:space="0" w:color="auto"/>
                <w:left w:val="none" w:sz="0" w:space="0" w:color="auto"/>
                <w:bottom w:val="none" w:sz="0" w:space="0" w:color="auto"/>
                <w:right w:val="none" w:sz="0" w:space="0" w:color="auto"/>
              </w:divBdr>
            </w:div>
            <w:div w:id="203107239">
              <w:marLeft w:val="0"/>
              <w:marRight w:val="0"/>
              <w:marTop w:val="0"/>
              <w:marBottom w:val="0"/>
              <w:divBdr>
                <w:top w:val="none" w:sz="0" w:space="0" w:color="auto"/>
                <w:left w:val="none" w:sz="0" w:space="0" w:color="auto"/>
                <w:bottom w:val="none" w:sz="0" w:space="0" w:color="auto"/>
                <w:right w:val="none" w:sz="0" w:space="0" w:color="auto"/>
              </w:divBdr>
            </w:div>
            <w:div w:id="576207028">
              <w:marLeft w:val="0"/>
              <w:marRight w:val="0"/>
              <w:marTop w:val="0"/>
              <w:marBottom w:val="0"/>
              <w:divBdr>
                <w:top w:val="none" w:sz="0" w:space="0" w:color="auto"/>
                <w:left w:val="none" w:sz="0" w:space="0" w:color="auto"/>
                <w:bottom w:val="none" w:sz="0" w:space="0" w:color="auto"/>
                <w:right w:val="none" w:sz="0" w:space="0" w:color="auto"/>
              </w:divBdr>
            </w:div>
            <w:div w:id="776676912">
              <w:marLeft w:val="0"/>
              <w:marRight w:val="0"/>
              <w:marTop w:val="0"/>
              <w:marBottom w:val="0"/>
              <w:divBdr>
                <w:top w:val="none" w:sz="0" w:space="0" w:color="auto"/>
                <w:left w:val="none" w:sz="0" w:space="0" w:color="auto"/>
                <w:bottom w:val="none" w:sz="0" w:space="0" w:color="auto"/>
                <w:right w:val="none" w:sz="0" w:space="0" w:color="auto"/>
              </w:divBdr>
            </w:div>
            <w:div w:id="1081290445">
              <w:marLeft w:val="0"/>
              <w:marRight w:val="0"/>
              <w:marTop w:val="0"/>
              <w:marBottom w:val="0"/>
              <w:divBdr>
                <w:top w:val="none" w:sz="0" w:space="0" w:color="auto"/>
                <w:left w:val="none" w:sz="0" w:space="0" w:color="auto"/>
                <w:bottom w:val="none" w:sz="0" w:space="0" w:color="auto"/>
                <w:right w:val="none" w:sz="0" w:space="0" w:color="auto"/>
              </w:divBdr>
            </w:div>
            <w:div w:id="17660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34767">
      <w:bodyDiv w:val="1"/>
      <w:marLeft w:val="0"/>
      <w:marRight w:val="0"/>
      <w:marTop w:val="0"/>
      <w:marBottom w:val="0"/>
      <w:divBdr>
        <w:top w:val="none" w:sz="0" w:space="0" w:color="auto"/>
        <w:left w:val="none" w:sz="0" w:space="0" w:color="auto"/>
        <w:bottom w:val="none" w:sz="0" w:space="0" w:color="auto"/>
        <w:right w:val="none" w:sz="0" w:space="0" w:color="auto"/>
      </w:divBdr>
    </w:div>
    <w:div w:id="277026037">
      <w:bodyDiv w:val="1"/>
      <w:marLeft w:val="0"/>
      <w:marRight w:val="0"/>
      <w:marTop w:val="0"/>
      <w:marBottom w:val="0"/>
      <w:divBdr>
        <w:top w:val="none" w:sz="0" w:space="0" w:color="auto"/>
        <w:left w:val="none" w:sz="0" w:space="0" w:color="auto"/>
        <w:bottom w:val="none" w:sz="0" w:space="0" w:color="auto"/>
        <w:right w:val="none" w:sz="0" w:space="0" w:color="auto"/>
      </w:divBdr>
    </w:div>
    <w:div w:id="301927065">
      <w:bodyDiv w:val="1"/>
      <w:marLeft w:val="0"/>
      <w:marRight w:val="0"/>
      <w:marTop w:val="0"/>
      <w:marBottom w:val="0"/>
      <w:divBdr>
        <w:top w:val="none" w:sz="0" w:space="0" w:color="auto"/>
        <w:left w:val="none" w:sz="0" w:space="0" w:color="auto"/>
        <w:bottom w:val="none" w:sz="0" w:space="0" w:color="auto"/>
        <w:right w:val="none" w:sz="0" w:space="0" w:color="auto"/>
      </w:divBdr>
    </w:div>
    <w:div w:id="310717198">
      <w:bodyDiv w:val="1"/>
      <w:marLeft w:val="0"/>
      <w:marRight w:val="0"/>
      <w:marTop w:val="0"/>
      <w:marBottom w:val="0"/>
      <w:divBdr>
        <w:top w:val="none" w:sz="0" w:space="0" w:color="auto"/>
        <w:left w:val="none" w:sz="0" w:space="0" w:color="auto"/>
        <w:bottom w:val="none" w:sz="0" w:space="0" w:color="auto"/>
        <w:right w:val="none" w:sz="0" w:space="0" w:color="auto"/>
      </w:divBdr>
    </w:div>
    <w:div w:id="411439293">
      <w:bodyDiv w:val="1"/>
      <w:marLeft w:val="0"/>
      <w:marRight w:val="0"/>
      <w:marTop w:val="0"/>
      <w:marBottom w:val="0"/>
      <w:divBdr>
        <w:top w:val="none" w:sz="0" w:space="0" w:color="auto"/>
        <w:left w:val="none" w:sz="0" w:space="0" w:color="auto"/>
        <w:bottom w:val="none" w:sz="0" w:space="0" w:color="auto"/>
        <w:right w:val="none" w:sz="0" w:space="0" w:color="auto"/>
      </w:divBdr>
    </w:div>
    <w:div w:id="467357516">
      <w:bodyDiv w:val="1"/>
      <w:marLeft w:val="0"/>
      <w:marRight w:val="0"/>
      <w:marTop w:val="0"/>
      <w:marBottom w:val="0"/>
      <w:divBdr>
        <w:top w:val="none" w:sz="0" w:space="0" w:color="auto"/>
        <w:left w:val="none" w:sz="0" w:space="0" w:color="auto"/>
        <w:bottom w:val="none" w:sz="0" w:space="0" w:color="auto"/>
        <w:right w:val="none" w:sz="0" w:space="0" w:color="auto"/>
      </w:divBdr>
    </w:div>
    <w:div w:id="473762042">
      <w:bodyDiv w:val="1"/>
      <w:marLeft w:val="0"/>
      <w:marRight w:val="0"/>
      <w:marTop w:val="0"/>
      <w:marBottom w:val="0"/>
      <w:divBdr>
        <w:top w:val="none" w:sz="0" w:space="0" w:color="auto"/>
        <w:left w:val="none" w:sz="0" w:space="0" w:color="auto"/>
        <w:bottom w:val="none" w:sz="0" w:space="0" w:color="auto"/>
        <w:right w:val="none" w:sz="0" w:space="0" w:color="auto"/>
      </w:divBdr>
    </w:div>
    <w:div w:id="535048701">
      <w:bodyDiv w:val="1"/>
      <w:marLeft w:val="0"/>
      <w:marRight w:val="0"/>
      <w:marTop w:val="0"/>
      <w:marBottom w:val="0"/>
      <w:divBdr>
        <w:top w:val="none" w:sz="0" w:space="0" w:color="auto"/>
        <w:left w:val="none" w:sz="0" w:space="0" w:color="auto"/>
        <w:bottom w:val="none" w:sz="0" w:space="0" w:color="auto"/>
        <w:right w:val="none" w:sz="0" w:space="0" w:color="auto"/>
      </w:divBdr>
    </w:div>
    <w:div w:id="636179091">
      <w:bodyDiv w:val="1"/>
      <w:marLeft w:val="0"/>
      <w:marRight w:val="0"/>
      <w:marTop w:val="0"/>
      <w:marBottom w:val="0"/>
      <w:divBdr>
        <w:top w:val="none" w:sz="0" w:space="0" w:color="auto"/>
        <w:left w:val="none" w:sz="0" w:space="0" w:color="auto"/>
        <w:bottom w:val="none" w:sz="0" w:space="0" w:color="auto"/>
        <w:right w:val="none" w:sz="0" w:space="0" w:color="auto"/>
      </w:divBdr>
    </w:div>
    <w:div w:id="656684865">
      <w:bodyDiv w:val="1"/>
      <w:marLeft w:val="0"/>
      <w:marRight w:val="0"/>
      <w:marTop w:val="0"/>
      <w:marBottom w:val="0"/>
      <w:divBdr>
        <w:top w:val="none" w:sz="0" w:space="0" w:color="auto"/>
        <w:left w:val="none" w:sz="0" w:space="0" w:color="auto"/>
        <w:bottom w:val="none" w:sz="0" w:space="0" w:color="auto"/>
        <w:right w:val="none" w:sz="0" w:space="0" w:color="auto"/>
      </w:divBdr>
    </w:div>
    <w:div w:id="763040438">
      <w:bodyDiv w:val="1"/>
      <w:marLeft w:val="0"/>
      <w:marRight w:val="0"/>
      <w:marTop w:val="0"/>
      <w:marBottom w:val="0"/>
      <w:divBdr>
        <w:top w:val="none" w:sz="0" w:space="0" w:color="auto"/>
        <w:left w:val="none" w:sz="0" w:space="0" w:color="auto"/>
        <w:bottom w:val="none" w:sz="0" w:space="0" w:color="auto"/>
        <w:right w:val="none" w:sz="0" w:space="0" w:color="auto"/>
      </w:divBdr>
    </w:div>
    <w:div w:id="809174298">
      <w:bodyDiv w:val="1"/>
      <w:marLeft w:val="0"/>
      <w:marRight w:val="0"/>
      <w:marTop w:val="0"/>
      <w:marBottom w:val="0"/>
      <w:divBdr>
        <w:top w:val="none" w:sz="0" w:space="0" w:color="auto"/>
        <w:left w:val="none" w:sz="0" w:space="0" w:color="auto"/>
        <w:bottom w:val="none" w:sz="0" w:space="0" w:color="auto"/>
        <w:right w:val="none" w:sz="0" w:space="0" w:color="auto"/>
      </w:divBdr>
    </w:div>
    <w:div w:id="834995994">
      <w:bodyDiv w:val="1"/>
      <w:marLeft w:val="0"/>
      <w:marRight w:val="0"/>
      <w:marTop w:val="0"/>
      <w:marBottom w:val="0"/>
      <w:divBdr>
        <w:top w:val="none" w:sz="0" w:space="0" w:color="auto"/>
        <w:left w:val="none" w:sz="0" w:space="0" w:color="auto"/>
        <w:bottom w:val="none" w:sz="0" w:space="0" w:color="auto"/>
        <w:right w:val="none" w:sz="0" w:space="0" w:color="auto"/>
      </w:divBdr>
      <w:divsChild>
        <w:div w:id="525143082">
          <w:marLeft w:val="274"/>
          <w:marRight w:val="0"/>
          <w:marTop w:val="120"/>
          <w:marBottom w:val="0"/>
          <w:divBdr>
            <w:top w:val="none" w:sz="0" w:space="0" w:color="auto"/>
            <w:left w:val="none" w:sz="0" w:space="0" w:color="auto"/>
            <w:bottom w:val="none" w:sz="0" w:space="0" w:color="auto"/>
            <w:right w:val="none" w:sz="0" w:space="0" w:color="auto"/>
          </w:divBdr>
        </w:div>
        <w:div w:id="921791533">
          <w:marLeft w:val="288"/>
          <w:marRight w:val="0"/>
          <w:marTop w:val="120"/>
          <w:marBottom w:val="0"/>
          <w:divBdr>
            <w:top w:val="none" w:sz="0" w:space="0" w:color="auto"/>
            <w:left w:val="none" w:sz="0" w:space="0" w:color="auto"/>
            <w:bottom w:val="none" w:sz="0" w:space="0" w:color="auto"/>
            <w:right w:val="none" w:sz="0" w:space="0" w:color="auto"/>
          </w:divBdr>
        </w:div>
        <w:div w:id="928268359">
          <w:marLeft w:val="288"/>
          <w:marRight w:val="0"/>
          <w:marTop w:val="120"/>
          <w:marBottom w:val="0"/>
          <w:divBdr>
            <w:top w:val="none" w:sz="0" w:space="0" w:color="auto"/>
            <w:left w:val="none" w:sz="0" w:space="0" w:color="auto"/>
            <w:bottom w:val="none" w:sz="0" w:space="0" w:color="auto"/>
            <w:right w:val="none" w:sz="0" w:space="0" w:color="auto"/>
          </w:divBdr>
        </w:div>
        <w:div w:id="940841272">
          <w:marLeft w:val="274"/>
          <w:marRight w:val="0"/>
          <w:marTop w:val="120"/>
          <w:marBottom w:val="0"/>
          <w:divBdr>
            <w:top w:val="none" w:sz="0" w:space="0" w:color="auto"/>
            <w:left w:val="none" w:sz="0" w:space="0" w:color="auto"/>
            <w:bottom w:val="none" w:sz="0" w:space="0" w:color="auto"/>
            <w:right w:val="none" w:sz="0" w:space="0" w:color="auto"/>
          </w:divBdr>
        </w:div>
      </w:divsChild>
    </w:div>
    <w:div w:id="845242541">
      <w:bodyDiv w:val="1"/>
      <w:marLeft w:val="0"/>
      <w:marRight w:val="0"/>
      <w:marTop w:val="0"/>
      <w:marBottom w:val="0"/>
      <w:divBdr>
        <w:top w:val="none" w:sz="0" w:space="0" w:color="auto"/>
        <w:left w:val="none" w:sz="0" w:space="0" w:color="auto"/>
        <w:bottom w:val="none" w:sz="0" w:space="0" w:color="auto"/>
        <w:right w:val="none" w:sz="0" w:space="0" w:color="auto"/>
      </w:divBdr>
    </w:div>
    <w:div w:id="865630858">
      <w:bodyDiv w:val="1"/>
      <w:marLeft w:val="0"/>
      <w:marRight w:val="0"/>
      <w:marTop w:val="0"/>
      <w:marBottom w:val="0"/>
      <w:divBdr>
        <w:top w:val="none" w:sz="0" w:space="0" w:color="auto"/>
        <w:left w:val="none" w:sz="0" w:space="0" w:color="auto"/>
        <w:bottom w:val="none" w:sz="0" w:space="0" w:color="auto"/>
        <w:right w:val="none" w:sz="0" w:space="0" w:color="auto"/>
      </w:divBdr>
    </w:div>
    <w:div w:id="868373381">
      <w:bodyDiv w:val="1"/>
      <w:marLeft w:val="0"/>
      <w:marRight w:val="0"/>
      <w:marTop w:val="0"/>
      <w:marBottom w:val="0"/>
      <w:divBdr>
        <w:top w:val="none" w:sz="0" w:space="0" w:color="auto"/>
        <w:left w:val="none" w:sz="0" w:space="0" w:color="auto"/>
        <w:bottom w:val="none" w:sz="0" w:space="0" w:color="auto"/>
        <w:right w:val="none" w:sz="0" w:space="0" w:color="auto"/>
      </w:divBdr>
    </w:div>
    <w:div w:id="885415057">
      <w:bodyDiv w:val="1"/>
      <w:marLeft w:val="0"/>
      <w:marRight w:val="0"/>
      <w:marTop w:val="0"/>
      <w:marBottom w:val="0"/>
      <w:divBdr>
        <w:top w:val="none" w:sz="0" w:space="0" w:color="auto"/>
        <w:left w:val="none" w:sz="0" w:space="0" w:color="auto"/>
        <w:bottom w:val="none" w:sz="0" w:space="0" w:color="auto"/>
        <w:right w:val="none" w:sz="0" w:space="0" w:color="auto"/>
      </w:divBdr>
    </w:div>
    <w:div w:id="886571765">
      <w:bodyDiv w:val="1"/>
      <w:marLeft w:val="0"/>
      <w:marRight w:val="0"/>
      <w:marTop w:val="0"/>
      <w:marBottom w:val="0"/>
      <w:divBdr>
        <w:top w:val="none" w:sz="0" w:space="0" w:color="auto"/>
        <w:left w:val="none" w:sz="0" w:space="0" w:color="auto"/>
        <w:bottom w:val="none" w:sz="0" w:space="0" w:color="auto"/>
        <w:right w:val="none" w:sz="0" w:space="0" w:color="auto"/>
      </w:divBdr>
    </w:div>
    <w:div w:id="909579085">
      <w:bodyDiv w:val="1"/>
      <w:marLeft w:val="0"/>
      <w:marRight w:val="0"/>
      <w:marTop w:val="0"/>
      <w:marBottom w:val="0"/>
      <w:divBdr>
        <w:top w:val="none" w:sz="0" w:space="0" w:color="auto"/>
        <w:left w:val="none" w:sz="0" w:space="0" w:color="auto"/>
        <w:bottom w:val="none" w:sz="0" w:space="0" w:color="auto"/>
        <w:right w:val="none" w:sz="0" w:space="0" w:color="auto"/>
      </w:divBdr>
    </w:div>
    <w:div w:id="1037389965">
      <w:bodyDiv w:val="1"/>
      <w:marLeft w:val="0"/>
      <w:marRight w:val="0"/>
      <w:marTop w:val="0"/>
      <w:marBottom w:val="0"/>
      <w:divBdr>
        <w:top w:val="none" w:sz="0" w:space="0" w:color="auto"/>
        <w:left w:val="none" w:sz="0" w:space="0" w:color="auto"/>
        <w:bottom w:val="none" w:sz="0" w:space="0" w:color="auto"/>
        <w:right w:val="none" w:sz="0" w:space="0" w:color="auto"/>
      </w:divBdr>
    </w:div>
    <w:div w:id="1060667195">
      <w:bodyDiv w:val="1"/>
      <w:marLeft w:val="0"/>
      <w:marRight w:val="0"/>
      <w:marTop w:val="0"/>
      <w:marBottom w:val="0"/>
      <w:divBdr>
        <w:top w:val="none" w:sz="0" w:space="0" w:color="auto"/>
        <w:left w:val="none" w:sz="0" w:space="0" w:color="auto"/>
        <w:bottom w:val="none" w:sz="0" w:space="0" w:color="auto"/>
        <w:right w:val="none" w:sz="0" w:space="0" w:color="auto"/>
      </w:divBdr>
    </w:div>
    <w:div w:id="1165164605">
      <w:bodyDiv w:val="1"/>
      <w:marLeft w:val="0"/>
      <w:marRight w:val="0"/>
      <w:marTop w:val="0"/>
      <w:marBottom w:val="0"/>
      <w:divBdr>
        <w:top w:val="none" w:sz="0" w:space="0" w:color="auto"/>
        <w:left w:val="none" w:sz="0" w:space="0" w:color="auto"/>
        <w:bottom w:val="none" w:sz="0" w:space="0" w:color="auto"/>
        <w:right w:val="none" w:sz="0" w:space="0" w:color="auto"/>
      </w:divBdr>
    </w:div>
    <w:div w:id="1287589697">
      <w:bodyDiv w:val="1"/>
      <w:marLeft w:val="0"/>
      <w:marRight w:val="0"/>
      <w:marTop w:val="0"/>
      <w:marBottom w:val="0"/>
      <w:divBdr>
        <w:top w:val="none" w:sz="0" w:space="0" w:color="auto"/>
        <w:left w:val="none" w:sz="0" w:space="0" w:color="auto"/>
        <w:bottom w:val="none" w:sz="0" w:space="0" w:color="auto"/>
        <w:right w:val="none" w:sz="0" w:space="0" w:color="auto"/>
      </w:divBdr>
    </w:div>
    <w:div w:id="1296762793">
      <w:bodyDiv w:val="1"/>
      <w:marLeft w:val="0"/>
      <w:marRight w:val="0"/>
      <w:marTop w:val="0"/>
      <w:marBottom w:val="0"/>
      <w:divBdr>
        <w:top w:val="none" w:sz="0" w:space="0" w:color="auto"/>
        <w:left w:val="none" w:sz="0" w:space="0" w:color="auto"/>
        <w:bottom w:val="none" w:sz="0" w:space="0" w:color="auto"/>
        <w:right w:val="none" w:sz="0" w:space="0" w:color="auto"/>
      </w:divBdr>
    </w:div>
    <w:div w:id="1423330058">
      <w:bodyDiv w:val="1"/>
      <w:marLeft w:val="0"/>
      <w:marRight w:val="0"/>
      <w:marTop w:val="0"/>
      <w:marBottom w:val="0"/>
      <w:divBdr>
        <w:top w:val="none" w:sz="0" w:space="0" w:color="auto"/>
        <w:left w:val="none" w:sz="0" w:space="0" w:color="auto"/>
        <w:bottom w:val="none" w:sz="0" w:space="0" w:color="auto"/>
        <w:right w:val="none" w:sz="0" w:space="0" w:color="auto"/>
      </w:divBdr>
      <w:divsChild>
        <w:div w:id="366107753">
          <w:marLeft w:val="0"/>
          <w:marRight w:val="0"/>
          <w:marTop w:val="0"/>
          <w:marBottom w:val="0"/>
          <w:divBdr>
            <w:top w:val="none" w:sz="0" w:space="0" w:color="auto"/>
            <w:left w:val="none" w:sz="0" w:space="0" w:color="auto"/>
            <w:bottom w:val="none" w:sz="0" w:space="0" w:color="auto"/>
            <w:right w:val="none" w:sz="0" w:space="0" w:color="auto"/>
          </w:divBdr>
        </w:div>
        <w:div w:id="851917734">
          <w:marLeft w:val="0"/>
          <w:marRight w:val="0"/>
          <w:marTop w:val="0"/>
          <w:marBottom w:val="0"/>
          <w:divBdr>
            <w:top w:val="none" w:sz="0" w:space="0" w:color="auto"/>
            <w:left w:val="none" w:sz="0" w:space="0" w:color="auto"/>
            <w:bottom w:val="none" w:sz="0" w:space="0" w:color="auto"/>
            <w:right w:val="none" w:sz="0" w:space="0" w:color="auto"/>
          </w:divBdr>
        </w:div>
        <w:div w:id="1323585161">
          <w:marLeft w:val="0"/>
          <w:marRight w:val="0"/>
          <w:marTop w:val="0"/>
          <w:marBottom w:val="0"/>
          <w:divBdr>
            <w:top w:val="none" w:sz="0" w:space="0" w:color="auto"/>
            <w:left w:val="none" w:sz="0" w:space="0" w:color="auto"/>
            <w:bottom w:val="none" w:sz="0" w:space="0" w:color="auto"/>
            <w:right w:val="none" w:sz="0" w:space="0" w:color="auto"/>
          </w:divBdr>
        </w:div>
        <w:div w:id="1595358787">
          <w:marLeft w:val="0"/>
          <w:marRight w:val="0"/>
          <w:marTop w:val="0"/>
          <w:marBottom w:val="0"/>
          <w:divBdr>
            <w:top w:val="none" w:sz="0" w:space="0" w:color="auto"/>
            <w:left w:val="none" w:sz="0" w:space="0" w:color="auto"/>
            <w:bottom w:val="none" w:sz="0" w:space="0" w:color="auto"/>
            <w:right w:val="none" w:sz="0" w:space="0" w:color="auto"/>
          </w:divBdr>
        </w:div>
        <w:div w:id="2023895381">
          <w:marLeft w:val="0"/>
          <w:marRight w:val="0"/>
          <w:marTop w:val="0"/>
          <w:marBottom w:val="0"/>
          <w:divBdr>
            <w:top w:val="none" w:sz="0" w:space="0" w:color="auto"/>
            <w:left w:val="none" w:sz="0" w:space="0" w:color="auto"/>
            <w:bottom w:val="none" w:sz="0" w:space="0" w:color="auto"/>
            <w:right w:val="none" w:sz="0" w:space="0" w:color="auto"/>
          </w:divBdr>
        </w:div>
        <w:div w:id="2059668046">
          <w:marLeft w:val="0"/>
          <w:marRight w:val="0"/>
          <w:marTop w:val="0"/>
          <w:marBottom w:val="0"/>
          <w:divBdr>
            <w:top w:val="none" w:sz="0" w:space="0" w:color="auto"/>
            <w:left w:val="none" w:sz="0" w:space="0" w:color="auto"/>
            <w:bottom w:val="none" w:sz="0" w:space="0" w:color="auto"/>
            <w:right w:val="none" w:sz="0" w:space="0" w:color="auto"/>
          </w:divBdr>
        </w:div>
        <w:div w:id="2142720819">
          <w:marLeft w:val="0"/>
          <w:marRight w:val="0"/>
          <w:marTop w:val="0"/>
          <w:marBottom w:val="0"/>
          <w:divBdr>
            <w:top w:val="none" w:sz="0" w:space="0" w:color="auto"/>
            <w:left w:val="none" w:sz="0" w:space="0" w:color="auto"/>
            <w:bottom w:val="none" w:sz="0" w:space="0" w:color="auto"/>
            <w:right w:val="none" w:sz="0" w:space="0" w:color="auto"/>
          </w:divBdr>
        </w:div>
      </w:divsChild>
    </w:div>
    <w:div w:id="1472795674">
      <w:bodyDiv w:val="1"/>
      <w:marLeft w:val="0"/>
      <w:marRight w:val="0"/>
      <w:marTop w:val="0"/>
      <w:marBottom w:val="0"/>
      <w:divBdr>
        <w:top w:val="none" w:sz="0" w:space="0" w:color="auto"/>
        <w:left w:val="none" w:sz="0" w:space="0" w:color="auto"/>
        <w:bottom w:val="none" w:sz="0" w:space="0" w:color="auto"/>
        <w:right w:val="none" w:sz="0" w:space="0" w:color="auto"/>
      </w:divBdr>
    </w:div>
    <w:div w:id="1487892309">
      <w:bodyDiv w:val="1"/>
      <w:marLeft w:val="0"/>
      <w:marRight w:val="0"/>
      <w:marTop w:val="0"/>
      <w:marBottom w:val="0"/>
      <w:divBdr>
        <w:top w:val="none" w:sz="0" w:space="0" w:color="auto"/>
        <w:left w:val="none" w:sz="0" w:space="0" w:color="auto"/>
        <w:bottom w:val="none" w:sz="0" w:space="0" w:color="auto"/>
        <w:right w:val="none" w:sz="0" w:space="0" w:color="auto"/>
      </w:divBdr>
    </w:div>
    <w:div w:id="1559248862">
      <w:bodyDiv w:val="1"/>
      <w:marLeft w:val="0"/>
      <w:marRight w:val="0"/>
      <w:marTop w:val="0"/>
      <w:marBottom w:val="0"/>
      <w:divBdr>
        <w:top w:val="none" w:sz="0" w:space="0" w:color="auto"/>
        <w:left w:val="none" w:sz="0" w:space="0" w:color="auto"/>
        <w:bottom w:val="none" w:sz="0" w:space="0" w:color="auto"/>
        <w:right w:val="none" w:sz="0" w:space="0" w:color="auto"/>
      </w:divBdr>
    </w:div>
    <w:div w:id="1587417863">
      <w:bodyDiv w:val="1"/>
      <w:marLeft w:val="0"/>
      <w:marRight w:val="0"/>
      <w:marTop w:val="0"/>
      <w:marBottom w:val="0"/>
      <w:divBdr>
        <w:top w:val="none" w:sz="0" w:space="0" w:color="auto"/>
        <w:left w:val="none" w:sz="0" w:space="0" w:color="auto"/>
        <w:bottom w:val="none" w:sz="0" w:space="0" w:color="auto"/>
        <w:right w:val="none" w:sz="0" w:space="0" w:color="auto"/>
      </w:divBdr>
    </w:div>
    <w:div w:id="1600020092">
      <w:bodyDiv w:val="1"/>
      <w:marLeft w:val="0"/>
      <w:marRight w:val="0"/>
      <w:marTop w:val="0"/>
      <w:marBottom w:val="0"/>
      <w:divBdr>
        <w:top w:val="none" w:sz="0" w:space="0" w:color="auto"/>
        <w:left w:val="none" w:sz="0" w:space="0" w:color="auto"/>
        <w:bottom w:val="none" w:sz="0" w:space="0" w:color="auto"/>
        <w:right w:val="none" w:sz="0" w:space="0" w:color="auto"/>
      </w:divBdr>
    </w:div>
    <w:div w:id="1623418474">
      <w:bodyDiv w:val="1"/>
      <w:marLeft w:val="0"/>
      <w:marRight w:val="0"/>
      <w:marTop w:val="0"/>
      <w:marBottom w:val="0"/>
      <w:divBdr>
        <w:top w:val="none" w:sz="0" w:space="0" w:color="auto"/>
        <w:left w:val="none" w:sz="0" w:space="0" w:color="auto"/>
        <w:bottom w:val="none" w:sz="0" w:space="0" w:color="auto"/>
        <w:right w:val="none" w:sz="0" w:space="0" w:color="auto"/>
      </w:divBdr>
    </w:div>
    <w:div w:id="1627619209">
      <w:bodyDiv w:val="1"/>
      <w:marLeft w:val="0"/>
      <w:marRight w:val="0"/>
      <w:marTop w:val="0"/>
      <w:marBottom w:val="0"/>
      <w:divBdr>
        <w:top w:val="none" w:sz="0" w:space="0" w:color="auto"/>
        <w:left w:val="none" w:sz="0" w:space="0" w:color="auto"/>
        <w:bottom w:val="none" w:sz="0" w:space="0" w:color="auto"/>
        <w:right w:val="none" w:sz="0" w:space="0" w:color="auto"/>
      </w:divBdr>
    </w:div>
    <w:div w:id="1640183788">
      <w:bodyDiv w:val="1"/>
      <w:marLeft w:val="0"/>
      <w:marRight w:val="0"/>
      <w:marTop w:val="0"/>
      <w:marBottom w:val="0"/>
      <w:divBdr>
        <w:top w:val="none" w:sz="0" w:space="0" w:color="auto"/>
        <w:left w:val="none" w:sz="0" w:space="0" w:color="auto"/>
        <w:bottom w:val="none" w:sz="0" w:space="0" w:color="auto"/>
        <w:right w:val="none" w:sz="0" w:space="0" w:color="auto"/>
      </w:divBdr>
    </w:div>
    <w:div w:id="1698581071">
      <w:bodyDiv w:val="1"/>
      <w:marLeft w:val="0"/>
      <w:marRight w:val="0"/>
      <w:marTop w:val="0"/>
      <w:marBottom w:val="0"/>
      <w:divBdr>
        <w:top w:val="none" w:sz="0" w:space="0" w:color="auto"/>
        <w:left w:val="none" w:sz="0" w:space="0" w:color="auto"/>
        <w:bottom w:val="none" w:sz="0" w:space="0" w:color="auto"/>
        <w:right w:val="none" w:sz="0" w:space="0" w:color="auto"/>
      </w:divBdr>
    </w:div>
    <w:div w:id="1708293880">
      <w:bodyDiv w:val="1"/>
      <w:marLeft w:val="0"/>
      <w:marRight w:val="0"/>
      <w:marTop w:val="0"/>
      <w:marBottom w:val="0"/>
      <w:divBdr>
        <w:top w:val="none" w:sz="0" w:space="0" w:color="auto"/>
        <w:left w:val="none" w:sz="0" w:space="0" w:color="auto"/>
        <w:bottom w:val="none" w:sz="0" w:space="0" w:color="auto"/>
        <w:right w:val="none" w:sz="0" w:space="0" w:color="auto"/>
      </w:divBdr>
    </w:div>
    <w:div w:id="1742554474">
      <w:bodyDiv w:val="1"/>
      <w:marLeft w:val="0"/>
      <w:marRight w:val="0"/>
      <w:marTop w:val="0"/>
      <w:marBottom w:val="0"/>
      <w:divBdr>
        <w:top w:val="none" w:sz="0" w:space="0" w:color="auto"/>
        <w:left w:val="none" w:sz="0" w:space="0" w:color="auto"/>
        <w:bottom w:val="none" w:sz="0" w:space="0" w:color="auto"/>
        <w:right w:val="none" w:sz="0" w:space="0" w:color="auto"/>
      </w:divBdr>
    </w:div>
    <w:div w:id="1902907858">
      <w:bodyDiv w:val="1"/>
      <w:marLeft w:val="0"/>
      <w:marRight w:val="0"/>
      <w:marTop w:val="0"/>
      <w:marBottom w:val="0"/>
      <w:divBdr>
        <w:top w:val="none" w:sz="0" w:space="0" w:color="auto"/>
        <w:left w:val="none" w:sz="0" w:space="0" w:color="auto"/>
        <w:bottom w:val="none" w:sz="0" w:space="0" w:color="auto"/>
        <w:right w:val="none" w:sz="0" w:space="0" w:color="auto"/>
      </w:divBdr>
    </w:div>
    <w:div w:id="1942256056">
      <w:bodyDiv w:val="1"/>
      <w:marLeft w:val="0"/>
      <w:marRight w:val="0"/>
      <w:marTop w:val="0"/>
      <w:marBottom w:val="0"/>
      <w:divBdr>
        <w:top w:val="none" w:sz="0" w:space="0" w:color="auto"/>
        <w:left w:val="none" w:sz="0" w:space="0" w:color="auto"/>
        <w:bottom w:val="none" w:sz="0" w:space="0" w:color="auto"/>
        <w:right w:val="none" w:sz="0" w:space="0" w:color="auto"/>
      </w:divBdr>
    </w:div>
    <w:div w:id="2048870188">
      <w:bodyDiv w:val="1"/>
      <w:marLeft w:val="0"/>
      <w:marRight w:val="0"/>
      <w:marTop w:val="0"/>
      <w:marBottom w:val="0"/>
      <w:divBdr>
        <w:top w:val="none" w:sz="0" w:space="0" w:color="auto"/>
        <w:left w:val="none" w:sz="0" w:space="0" w:color="auto"/>
        <w:bottom w:val="none" w:sz="0" w:space="0" w:color="auto"/>
        <w:right w:val="none" w:sz="0" w:space="0" w:color="auto"/>
      </w:divBdr>
    </w:div>
    <w:div w:id="2126389003">
      <w:bodyDiv w:val="1"/>
      <w:marLeft w:val="0"/>
      <w:marRight w:val="0"/>
      <w:marTop w:val="0"/>
      <w:marBottom w:val="0"/>
      <w:divBdr>
        <w:top w:val="none" w:sz="0" w:space="0" w:color="auto"/>
        <w:left w:val="none" w:sz="0" w:space="0" w:color="auto"/>
        <w:bottom w:val="none" w:sz="0" w:space="0" w:color="auto"/>
        <w:right w:val="none" w:sz="0" w:space="0" w:color="auto"/>
      </w:divBdr>
    </w:div>
    <w:div w:id="21471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lutrija.hr/DesignTemplates/Lutrija_content/images/_gui/logo.jpg" TargetMode="External"/><Relationship Id="rId18" Type="http://schemas.openxmlformats.org/officeDocument/2006/relationships/hyperlink" Target="http://www.zakon.hr/cms.htm?id=1598" TargetMode="External"/><Relationship Id="rId26" Type="http://schemas.openxmlformats.org/officeDocument/2006/relationships/image" Target="media/image3.emf"/><Relationship Id="rId39"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image" Target="media/image11.png"/><Relationship Id="rId42" Type="http://schemas.openxmlformats.org/officeDocument/2006/relationships/image" Target="media/image19.e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zakon.hr/cms.htm?id=736" TargetMode="External"/><Relationship Id="rId25" Type="http://schemas.openxmlformats.org/officeDocument/2006/relationships/image" Target="media/image2.emf"/><Relationship Id="rId33" Type="http://schemas.openxmlformats.org/officeDocument/2006/relationships/image" Target="media/image10.png"/><Relationship Id="rId38" Type="http://schemas.openxmlformats.org/officeDocument/2006/relationships/image" Target="media/image15.emf"/><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zakon.hr/cms.htm?id=735" TargetMode="External"/><Relationship Id="rId20" Type="http://schemas.openxmlformats.org/officeDocument/2006/relationships/chart" Target="charts/chart2.xml"/><Relationship Id="rId29" Type="http://schemas.openxmlformats.org/officeDocument/2006/relationships/image" Target="media/image6.emf"/><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6.xm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zakon.hr/cms.htm?id=734" TargetMode="External"/><Relationship Id="rId23" Type="http://schemas.openxmlformats.org/officeDocument/2006/relationships/chart" Target="charts/chart5.xml"/><Relationship Id="rId28" Type="http://schemas.openxmlformats.org/officeDocument/2006/relationships/image" Target="media/image5.png"/><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image" Target="media/image8.png"/><Relationship Id="rId44" Type="http://schemas.openxmlformats.org/officeDocument/2006/relationships/image" Target="media/image2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kon.hr/cms.htm?id=733" TargetMode="External"/><Relationship Id="rId22" Type="http://schemas.openxmlformats.org/officeDocument/2006/relationships/chart" Target="charts/chart4.xml"/><Relationship Id="rId27" Type="http://schemas.openxmlformats.org/officeDocument/2006/relationships/image" Target="media/image4.emf"/><Relationship Id="rId30" Type="http://schemas.openxmlformats.org/officeDocument/2006/relationships/image" Target="media/image7.png"/><Relationship Id="rId35" Type="http://schemas.openxmlformats.org/officeDocument/2006/relationships/image" Target="media/image12.emf"/><Relationship Id="rId43" Type="http://schemas.openxmlformats.org/officeDocument/2006/relationships/image" Target="media/image20.emf"/><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ijuretic\AppData\Local\Microsoft\Windows\INetCache\Content.Outlook\51HOFNS3\KLA&#272;ENJE%202003.-2018_novi.xls"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Jureti&#263;\juretic\Zahtjevi\Analize%202018.%20godina\KLA&#272;ENJE%202003.-2018_novi.xl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r-HR"/>
              <a:t>Tržišni udio </a:t>
            </a:r>
            <a:r>
              <a:rPr lang="en-US"/>
              <a:t>kladionice </a:t>
            </a:r>
            <a:r>
              <a:rPr lang="hr-HR"/>
              <a:t>HL u prometu</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RH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Sheet1!$A$2:$A$10</c:f>
              <c:strCache>
                <c:ptCount val="9"/>
                <c:pt idx="0">
                  <c:v>2010</c:v>
                </c:pt>
                <c:pt idx="1">
                  <c:v>2011</c:v>
                </c:pt>
                <c:pt idx="2">
                  <c:v>2012</c:v>
                </c:pt>
                <c:pt idx="3">
                  <c:v>2013</c:v>
                </c:pt>
                <c:pt idx="4">
                  <c:v>2014</c:v>
                </c:pt>
                <c:pt idx="5">
                  <c:v>2015</c:v>
                </c:pt>
                <c:pt idx="6">
                  <c:v>2016</c:v>
                </c:pt>
                <c:pt idx="7">
                  <c:v>2017</c:v>
                </c:pt>
                <c:pt idx="8">
                  <c:v>2018 (7 mj)</c:v>
                </c:pt>
              </c:strCache>
            </c:strRef>
          </c:cat>
          <c:val>
            <c:numRef>
              <c:f>Sheet1!$B$2:$B$10</c:f>
              <c:numCache>
                <c:formatCode>#,##0.00</c:formatCode>
                <c:ptCount val="9"/>
                <c:pt idx="0">
                  <c:v>4511072271.1700001</c:v>
                </c:pt>
                <c:pt idx="1">
                  <c:v>4663244515.3299999</c:v>
                </c:pt>
                <c:pt idx="2">
                  <c:v>5452677255.96</c:v>
                </c:pt>
                <c:pt idx="3">
                  <c:v>5625643600</c:v>
                </c:pt>
                <c:pt idx="4">
                  <c:v>5757400000</c:v>
                </c:pt>
                <c:pt idx="5">
                  <c:v>4859400000</c:v>
                </c:pt>
                <c:pt idx="6">
                  <c:v>5051500000</c:v>
                </c:pt>
                <c:pt idx="7">
                  <c:v>5009300000</c:v>
                </c:pt>
                <c:pt idx="8">
                  <c:v>2871700000</c:v>
                </c:pt>
              </c:numCache>
            </c:numRef>
          </c:val>
          <c:extLst>
            <c:ext xmlns:c16="http://schemas.microsoft.com/office/drawing/2014/chart" uri="{C3380CC4-5D6E-409C-BE32-E72D297353CC}">
              <c16:uniqueId val="{00000000-D564-461B-8E25-140A44F78B02}"/>
            </c:ext>
          </c:extLst>
        </c:ser>
        <c:ser>
          <c:idx val="1"/>
          <c:order val="1"/>
          <c:tx>
            <c:strRef>
              <c:f>Sheet1!$C$1</c:f>
              <c:strCache>
                <c:ptCount val="1"/>
                <c:pt idx="0">
                  <c:v>HL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Sheet1!$A$2:$A$10</c:f>
              <c:strCache>
                <c:ptCount val="9"/>
                <c:pt idx="0">
                  <c:v>2010</c:v>
                </c:pt>
                <c:pt idx="1">
                  <c:v>2011</c:v>
                </c:pt>
                <c:pt idx="2">
                  <c:v>2012</c:v>
                </c:pt>
                <c:pt idx="3">
                  <c:v>2013</c:v>
                </c:pt>
                <c:pt idx="4">
                  <c:v>2014</c:v>
                </c:pt>
                <c:pt idx="5">
                  <c:v>2015</c:v>
                </c:pt>
                <c:pt idx="6">
                  <c:v>2016</c:v>
                </c:pt>
                <c:pt idx="7">
                  <c:v>2017</c:v>
                </c:pt>
                <c:pt idx="8">
                  <c:v>2018 (7 mj)</c:v>
                </c:pt>
              </c:strCache>
            </c:strRef>
          </c:cat>
          <c:val>
            <c:numRef>
              <c:f>Sheet1!$C$2:$C$10</c:f>
              <c:numCache>
                <c:formatCode>#,##0.00</c:formatCode>
                <c:ptCount val="9"/>
                <c:pt idx="0">
                  <c:v>487739806.75</c:v>
                </c:pt>
                <c:pt idx="1">
                  <c:v>457068727.41000003</c:v>
                </c:pt>
                <c:pt idx="2">
                  <c:v>633155251.15999997</c:v>
                </c:pt>
                <c:pt idx="3">
                  <c:v>594735418.91999996</c:v>
                </c:pt>
                <c:pt idx="4">
                  <c:v>522819855.36000001</c:v>
                </c:pt>
                <c:pt idx="5">
                  <c:v>436800000</c:v>
                </c:pt>
                <c:pt idx="6">
                  <c:v>433581785.26999998</c:v>
                </c:pt>
                <c:pt idx="7">
                  <c:v>443376748.59421057</c:v>
                </c:pt>
                <c:pt idx="8">
                  <c:v>291997748.34315789</c:v>
                </c:pt>
              </c:numCache>
            </c:numRef>
          </c:val>
          <c:extLst>
            <c:ext xmlns:c16="http://schemas.microsoft.com/office/drawing/2014/chart" uri="{C3380CC4-5D6E-409C-BE32-E72D297353CC}">
              <c16:uniqueId val="{00000001-D564-461B-8E25-140A44F78B02}"/>
            </c:ext>
          </c:extLst>
        </c:ser>
        <c:dLbls>
          <c:showLegendKey val="0"/>
          <c:showVal val="0"/>
          <c:showCatName val="0"/>
          <c:showSerName val="0"/>
          <c:showPercent val="0"/>
          <c:showBubbleSize val="0"/>
        </c:dLbls>
        <c:gapWidth val="150"/>
        <c:axId val="130111984"/>
        <c:axId val="130106888"/>
      </c:barChart>
      <c:lineChart>
        <c:grouping val="standard"/>
        <c:varyColors val="0"/>
        <c:ser>
          <c:idx val="2"/>
          <c:order val="2"/>
          <c:tx>
            <c:strRef>
              <c:f>Sheet1!$D$1</c:f>
              <c:strCache>
                <c:ptCount val="1"/>
                <c:pt idx="0">
                  <c:v>HL/RH [%]</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Sheet1!$A$2:$A$10</c:f>
              <c:strCache>
                <c:ptCount val="9"/>
                <c:pt idx="0">
                  <c:v>2010</c:v>
                </c:pt>
                <c:pt idx="1">
                  <c:v>2011</c:v>
                </c:pt>
                <c:pt idx="2">
                  <c:v>2012</c:v>
                </c:pt>
                <c:pt idx="3">
                  <c:v>2013</c:v>
                </c:pt>
                <c:pt idx="4">
                  <c:v>2014</c:v>
                </c:pt>
                <c:pt idx="5">
                  <c:v>2015</c:v>
                </c:pt>
                <c:pt idx="6">
                  <c:v>2016</c:v>
                </c:pt>
                <c:pt idx="7">
                  <c:v>2017</c:v>
                </c:pt>
                <c:pt idx="8">
                  <c:v>2018 (7 mj)</c:v>
                </c:pt>
              </c:strCache>
            </c:strRef>
          </c:cat>
          <c:val>
            <c:numRef>
              <c:f>Sheet1!$D$2:$D$10</c:f>
              <c:numCache>
                <c:formatCode>0.00%</c:formatCode>
                <c:ptCount val="9"/>
                <c:pt idx="0">
                  <c:v>0.10812059249573913</c:v>
                </c:pt>
                <c:pt idx="1">
                  <c:v>9.801517503691419E-2</c:v>
                </c:pt>
                <c:pt idx="2">
                  <c:v>0.11611823356460999</c:v>
                </c:pt>
                <c:pt idx="3">
                  <c:v>0.10571864504889715</c:v>
                </c:pt>
                <c:pt idx="4">
                  <c:v>9.0808325869316017E-2</c:v>
                </c:pt>
                <c:pt idx="5">
                  <c:v>8.98876404494382E-2</c:v>
                </c:pt>
                <c:pt idx="6">
                  <c:v>8.583228452340888E-2</c:v>
                </c:pt>
                <c:pt idx="7">
                  <c:v>8.851071978005122E-2</c:v>
                </c:pt>
                <c:pt idx="8">
                  <c:v>0.10168114647879579</c:v>
                </c:pt>
              </c:numCache>
            </c:numRef>
          </c:val>
          <c:smooth val="0"/>
          <c:extLst>
            <c:ext xmlns:c16="http://schemas.microsoft.com/office/drawing/2014/chart" uri="{C3380CC4-5D6E-409C-BE32-E72D297353CC}">
              <c16:uniqueId val="{00000002-D564-461B-8E25-140A44F78B02}"/>
            </c:ext>
          </c:extLst>
        </c:ser>
        <c:dLbls>
          <c:showLegendKey val="0"/>
          <c:showVal val="0"/>
          <c:showCatName val="0"/>
          <c:showSerName val="0"/>
          <c:showPercent val="0"/>
          <c:showBubbleSize val="0"/>
        </c:dLbls>
        <c:marker val="1"/>
        <c:smooth val="0"/>
        <c:axId val="130107280"/>
        <c:axId val="130112376"/>
      </c:lineChart>
      <c:catAx>
        <c:axId val="130111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106888"/>
        <c:crosses val="autoZero"/>
        <c:auto val="1"/>
        <c:lblAlgn val="ctr"/>
        <c:lblOffset val="100"/>
        <c:noMultiLvlLbl val="0"/>
      </c:catAx>
      <c:valAx>
        <c:axId val="130106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111984"/>
        <c:crosses val="autoZero"/>
        <c:crossBetween val="between"/>
      </c:valAx>
      <c:valAx>
        <c:axId val="130112376"/>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107280"/>
        <c:crosses val="max"/>
        <c:crossBetween val="between"/>
      </c:valAx>
      <c:catAx>
        <c:axId val="130107280"/>
        <c:scaling>
          <c:orientation val="minMax"/>
        </c:scaling>
        <c:delete val="1"/>
        <c:axPos val="b"/>
        <c:numFmt formatCode="General" sourceLinked="1"/>
        <c:majorTickMark val="none"/>
        <c:minorTickMark val="none"/>
        <c:tickLblPos val="nextTo"/>
        <c:crossAx val="1301123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Ostatak od klađenja po</a:t>
            </a:r>
            <a:r>
              <a:rPr lang="hr-HR" baseline="0"/>
              <a:t> godinama</a:t>
            </a:r>
            <a:endParaRPr lang="hr-HR"/>
          </a:p>
          <a:p>
            <a:pPr>
              <a:defRPr/>
            </a:pP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Sheet2!$G$4</c:f>
              <c:strCache>
                <c:ptCount val="1"/>
                <c:pt idx="0">
                  <c:v>prihod (%) RH</c:v>
                </c:pt>
              </c:strCache>
            </c:strRef>
          </c:tx>
          <c:spPr>
            <a:ln w="28575" cap="rnd">
              <a:solidFill>
                <a:schemeClr val="accent1"/>
              </a:solidFill>
              <a:round/>
            </a:ln>
            <a:effectLst/>
          </c:spPr>
          <c:marker>
            <c:symbol val="none"/>
          </c:marker>
          <c:cat>
            <c:strRef>
              <c:f>Sheet2!$F$5:$F$18</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 (7 mj)</c:v>
                </c:pt>
              </c:strCache>
            </c:strRef>
          </c:cat>
          <c:val>
            <c:numRef>
              <c:f>Sheet2!$G$5:$G$18</c:f>
              <c:numCache>
                <c:formatCode>0.0%</c:formatCode>
                <c:ptCount val="14"/>
                <c:pt idx="0">
                  <c:v>0.22326136189096946</c:v>
                </c:pt>
                <c:pt idx="1">
                  <c:v>0.16479001816085875</c:v>
                </c:pt>
                <c:pt idx="2">
                  <c:v>0.19920103680006984</c:v>
                </c:pt>
                <c:pt idx="3">
                  <c:v>0.19523146018294421</c:v>
                </c:pt>
                <c:pt idx="4">
                  <c:v>0.16574293961301137</c:v>
                </c:pt>
                <c:pt idx="5">
                  <c:v>0.17789581925094319</c:v>
                </c:pt>
                <c:pt idx="6">
                  <c:v>0.21098672938027882</c:v>
                </c:pt>
                <c:pt idx="7">
                  <c:v>0.16457225859262983</c:v>
                </c:pt>
                <c:pt idx="8">
                  <c:v>0.19467756936468564</c:v>
                </c:pt>
                <c:pt idx="9">
                  <c:v>0.20444992531350958</c:v>
                </c:pt>
                <c:pt idx="10">
                  <c:v>0.22449273572869077</c:v>
                </c:pt>
                <c:pt idx="11">
                  <c:v>0.19998020389983173</c:v>
                </c:pt>
                <c:pt idx="12">
                  <c:v>0.22144810652186933</c:v>
                </c:pt>
                <c:pt idx="13">
                  <c:v>0.23397290803356896</c:v>
                </c:pt>
              </c:numCache>
            </c:numRef>
          </c:val>
          <c:smooth val="0"/>
          <c:extLst>
            <c:ext xmlns:c16="http://schemas.microsoft.com/office/drawing/2014/chart" uri="{C3380CC4-5D6E-409C-BE32-E72D297353CC}">
              <c16:uniqueId val="{00000000-9136-4E94-BEF1-43B9A91ED812}"/>
            </c:ext>
          </c:extLst>
        </c:ser>
        <c:ser>
          <c:idx val="1"/>
          <c:order val="1"/>
          <c:tx>
            <c:strRef>
              <c:f>Sheet2!$H$4</c:f>
              <c:strCache>
                <c:ptCount val="1"/>
                <c:pt idx="0">
                  <c:v>prihod (%) HL</c:v>
                </c:pt>
              </c:strCache>
            </c:strRef>
          </c:tx>
          <c:spPr>
            <a:ln w="28575" cap="rnd">
              <a:solidFill>
                <a:schemeClr val="accent2"/>
              </a:solidFill>
              <a:round/>
            </a:ln>
            <a:effectLst/>
          </c:spPr>
          <c:marker>
            <c:symbol val="none"/>
          </c:marker>
          <c:cat>
            <c:strRef>
              <c:f>Sheet2!$F$5:$F$18</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 (7 mj)</c:v>
                </c:pt>
              </c:strCache>
            </c:strRef>
          </c:cat>
          <c:val>
            <c:numRef>
              <c:f>Sheet2!$H$5:$H$18</c:f>
              <c:numCache>
                <c:formatCode>0.0%</c:formatCode>
                <c:ptCount val="14"/>
                <c:pt idx="0">
                  <c:v>0.15000115591630434</c:v>
                </c:pt>
                <c:pt idx="1">
                  <c:v>0.12415034406173302</c:v>
                </c:pt>
                <c:pt idx="2">
                  <c:v>0.12771309054263283</c:v>
                </c:pt>
                <c:pt idx="3">
                  <c:v>0.14049360016594434</c:v>
                </c:pt>
                <c:pt idx="4">
                  <c:v>0.12094972483020927</c:v>
                </c:pt>
                <c:pt idx="5">
                  <c:v>0.12570323371499145</c:v>
                </c:pt>
                <c:pt idx="6">
                  <c:v>0.18402645697645642</c:v>
                </c:pt>
                <c:pt idx="7">
                  <c:v>0.13340005969350469</c:v>
                </c:pt>
                <c:pt idx="8">
                  <c:v>0.17610197035211067</c:v>
                </c:pt>
                <c:pt idx="9">
                  <c:v>0.20276505297796044</c:v>
                </c:pt>
                <c:pt idx="10">
                  <c:v>0.20492358704212452</c:v>
                </c:pt>
                <c:pt idx="11">
                  <c:v>0.17285532362326755</c:v>
                </c:pt>
                <c:pt idx="12">
                  <c:v>0.21122934529416462</c:v>
                </c:pt>
                <c:pt idx="13">
                  <c:v>0.21903173773105755</c:v>
                </c:pt>
              </c:numCache>
            </c:numRef>
          </c:val>
          <c:smooth val="0"/>
          <c:extLst>
            <c:ext xmlns:c16="http://schemas.microsoft.com/office/drawing/2014/chart" uri="{C3380CC4-5D6E-409C-BE32-E72D297353CC}">
              <c16:uniqueId val="{00000001-9136-4E94-BEF1-43B9A91ED812}"/>
            </c:ext>
          </c:extLst>
        </c:ser>
        <c:dLbls>
          <c:showLegendKey val="0"/>
          <c:showVal val="0"/>
          <c:showCatName val="0"/>
          <c:showSerName val="0"/>
          <c:showPercent val="0"/>
          <c:showBubbleSize val="0"/>
        </c:dLbls>
        <c:smooth val="0"/>
        <c:axId val="130112768"/>
        <c:axId val="130106104"/>
      </c:lineChart>
      <c:catAx>
        <c:axId val="13011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106104"/>
        <c:crosses val="autoZero"/>
        <c:auto val="1"/>
        <c:lblAlgn val="ctr"/>
        <c:lblOffset val="100"/>
        <c:noMultiLvlLbl val="0"/>
      </c:catAx>
      <c:valAx>
        <c:axId val="1301061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11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Udio Hrvatske</a:t>
            </a:r>
            <a:r>
              <a:rPr lang="hr-HR" baseline="0"/>
              <a:t> Lutrije</a:t>
            </a:r>
            <a:r>
              <a:rPr lang="hr-HR"/>
              <a:t> na tržištu klađenja po godinama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spPr>
            <a:ln w="28575" cap="rnd">
              <a:solidFill>
                <a:schemeClr val="accent1"/>
              </a:solidFill>
              <a:round/>
            </a:ln>
            <a:effectLst/>
          </c:spPr>
          <c:marker>
            <c:symbol val="none"/>
          </c:marker>
          <c:cat>
            <c:strRef>
              <c:f>Sheet2!$L$4:$L$17</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 (7 mj)</c:v>
                </c:pt>
              </c:strCache>
            </c:strRef>
          </c:cat>
          <c:val>
            <c:numRef>
              <c:f>Sheet2!$M$4:$M$17</c:f>
              <c:numCache>
                <c:formatCode>0.0%</c:formatCode>
                <c:ptCount val="14"/>
                <c:pt idx="0">
                  <c:v>4.4708485383883043E-2</c:v>
                </c:pt>
                <c:pt idx="1">
                  <c:v>4.7449406047688665E-2</c:v>
                </c:pt>
                <c:pt idx="2">
                  <c:v>6.1718776357357702E-2</c:v>
                </c:pt>
                <c:pt idx="3">
                  <c:v>8.224824707325655E-2</c:v>
                </c:pt>
                <c:pt idx="4">
                  <c:v>0.10405238113447678</c:v>
                </c:pt>
                <c:pt idx="5">
                  <c:v>0.10812059249573913</c:v>
                </c:pt>
                <c:pt idx="6">
                  <c:v>9.801517503691419E-2</c:v>
                </c:pt>
                <c:pt idx="7">
                  <c:v>0.11611823356460999</c:v>
                </c:pt>
                <c:pt idx="8">
                  <c:v>0.10571864504889715</c:v>
                </c:pt>
                <c:pt idx="9">
                  <c:v>9.0808325869316017E-2</c:v>
                </c:pt>
                <c:pt idx="10">
                  <c:v>8.98876404494382E-2</c:v>
                </c:pt>
                <c:pt idx="11">
                  <c:v>8.583228452340888E-2</c:v>
                </c:pt>
                <c:pt idx="12">
                  <c:v>8.851071978005122E-2</c:v>
                </c:pt>
                <c:pt idx="13">
                  <c:v>0.10168114647879579</c:v>
                </c:pt>
              </c:numCache>
            </c:numRef>
          </c:val>
          <c:smooth val="0"/>
          <c:extLst>
            <c:ext xmlns:c16="http://schemas.microsoft.com/office/drawing/2014/chart" uri="{C3380CC4-5D6E-409C-BE32-E72D297353CC}">
              <c16:uniqueId val="{00000000-FCF8-4251-B2F0-C049C2FB2FB3}"/>
            </c:ext>
          </c:extLst>
        </c:ser>
        <c:dLbls>
          <c:showLegendKey val="0"/>
          <c:showVal val="0"/>
          <c:showCatName val="0"/>
          <c:showSerName val="0"/>
          <c:showPercent val="0"/>
          <c:showBubbleSize val="0"/>
        </c:dLbls>
        <c:smooth val="0"/>
        <c:axId val="130105712"/>
        <c:axId val="130109240"/>
      </c:lineChart>
      <c:catAx>
        <c:axId val="13010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109240"/>
        <c:crosses val="autoZero"/>
        <c:auto val="1"/>
        <c:lblAlgn val="ctr"/>
        <c:lblOffset val="100"/>
        <c:noMultiLvlLbl val="0"/>
      </c:catAx>
      <c:valAx>
        <c:axId val="1301092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10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aseline="0"/>
              <a:t>Uplata iCasina RH</a:t>
            </a:r>
            <a:endParaRPr lang="hr-HR"/>
          </a:p>
        </c:rich>
      </c:tx>
      <c:overlay val="0"/>
      <c:spPr>
        <a:noFill/>
        <a:ln>
          <a:noFill/>
        </a:ln>
        <a:effectLst/>
      </c:spPr>
    </c:title>
    <c:autoTitleDeleted val="0"/>
    <c:plotArea>
      <c:layout/>
      <c:barChart>
        <c:barDir val="col"/>
        <c:grouping val="clustered"/>
        <c:varyColors val="0"/>
        <c:ser>
          <c:idx val="0"/>
          <c:order val="0"/>
          <c:tx>
            <c:strRef>
              <c:f>Sheet1!$B$1</c:f>
              <c:strCache>
                <c:ptCount val="1"/>
                <c:pt idx="0">
                  <c:v>Uplata RH</c:v>
                </c:pt>
              </c:strCache>
            </c:strRef>
          </c:tx>
          <c:spPr>
            <a:solidFill>
              <a:schemeClr val="accent1"/>
            </a:solidFill>
            <a:ln>
              <a:noFill/>
            </a:ln>
            <a:effectLst/>
          </c:spPr>
          <c:invertIfNegative val="0"/>
          <c:cat>
            <c:strRef>
              <c:f>Sheet1!$A$2:$A$4</c:f>
              <c:strCache>
                <c:ptCount val="3"/>
                <c:pt idx="0">
                  <c:v>2015.</c:v>
                </c:pt>
                <c:pt idx="1">
                  <c:v>2016.</c:v>
                </c:pt>
                <c:pt idx="2">
                  <c:v>2017.</c:v>
                </c:pt>
              </c:strCache>
            </c:strRef>
          </c:cat>
          <c:val>
            <c:numRef>
              <c:f>Sheet1!$B$2:$B$4</c:f>
              <c:numCache>
                <c:formatCode>#,##0.00</c:formatCode>
                <c:ptCount val="3"/>
                <c:pt idx="0">
                  <c:v>561737154.29999995</c:v>
                </c:pt>
                <c:pt idx="1">
                  <c:v>1530819348.8299999</c:v>
                </c:pt>
                <c:pt idx="2">
                  <c:v>5244000000</c:v>
                </c:pt>
              </c:numCache>
            </c:numRef>
          </c:val>
          <c:extLst>
            <c:ext xmlns:c16="http://schemas.microsoft.com/office/drawing/2014/chart" uri="{C3380CC4-5D6E-409C-BE32-E72D297353CC}">
              <c16:uniqueId val="{00000000-E51F-4B85-9546-8069CF66910D}"/>
            </c:ext>
          </c:extLst>
        </c:ser>
        <c:ser>
          <c:idx val="1"/>
          <c:order val="1"/>
          <c:tx>
            <c:strRef>
              <c:f>Sheet1!$C$1</c:f>
              <c:strCache>
                <c:ptCount val="1"/>
                <c:pt idx="0">
                  <c:v>Promet HL</c:v>
                </c:pt>
              </c:strCache>
            </c:strRef>
          </c:tx>
          <c:spPr>
            <a:solidFill>
              <a:schemeClr val="accent2"/>
            </a:solidFill>
            <a:ln>
              <a:noFill/>
            </a:ln>
            <a:effectLst/>
          </c:spPr>
          <c:invertIfNegative val="0"/>
          <c:cat>
            <c:strRef>
              <c:f>Sheet1!$A$2:$A$4</c:f>
              <c:strCache>
                <c:ptCount val="3"/>
                <c:pt idx="0">
                  <c:v>2015.</c:v>
                </c:pt>
                <c:pt idx="1">
                  <c:v>2016.</c:v>
                </c:pt>
                <c:pt idx="2">
                  <c:v>2017.</c:v>
                </c:pt>
              </c:strCache>
            </c:strRef>
          </c:cat>
          <c:val>
            <c:numRef>
              <c:f>Sheet1!$C$2:$C$4</c:f>
              <c:numCache>
                <c:formatCode>#,##0.00</c:formatCode>
                <c:ptCount val="3"/>
                <c:pt idx="0">
                  <c:v>561737154.29999995</c:v>
                </c:pt>
                <c:pt idx="1">
                  <c:v>1530819348.8299999</c:v>
                </c:pt>
                <c:pt idx="2">
                  <c:v>1970235147.6300001</c:v>
                </c:pt>
              </c:numCache>
            </c:numRef>
          </c:val>
          <c:extLst>
            <c:ext xmlns:c16="http://schemas.microsoft.com/office/drawing/2014/chart" uri="{C3380CC4-5D6E-409C-BE32-E72D297353CC}">
              <c16:uniqueId val="{00000001-E51F-4B85-9546-8069CF66910D}"/>
            </c:ext>
          </c:extLst>
        </c:ser>
        <c:dLbls>
          <c:showLegendKey val="0"/>
          <c:showVal val="0"/>
          <c:showCatName val="0"/>
          <c:showSerName val="0"/>
          <c:showPercent val="0"/>
          <c:showBubbleSize val="0"/>
        </c:dLbls>
        <c:gapWidth val="150"/>
        <c:axId val="130110416"/>
        <c:axId val="130106496"/>
      </c:barChart>
      <c:lineChart>
        <c:grouping val="standard"/>
        <c:varyColors val="0"/>
        <c:ser>
          <c:idx val="2"/>
          <c:order val="2"/>
          <c:tx>
            <c:strRef>
              <c:f>Sheet1!$D$1</c:f>
              <c:strCache>
                <c:ptCount val="1"/>
                <c:pt idx="0">
                  <c:v>Udio</c:v>
                </c:pt>
              </c:strCache>
            </c:strRef>
          </c:tx>
          <c:spPr>
            <a:ln w="28575" cap="rnd">
              <a:solidFill>
                <a:schemeClr val="accent3"/>
              </a:solidFill>
              <a:round/>
            </a:ln>
            <a:effectLst/>
          </c:spPr>
          <c:marker>
            <c:symbol val="none"/>
          </c:marker>
          <c:cat>
            <c:strRef>
              <c:f>Sheet1!$A$2:$A$4</c:f>
              <c:strCache>
                <c:ptCount val="3"/>
                <c:pt idx="0">
                  <c:v>2015.</c:v>
                </c:pt>
                <c:pt idx="1">
                  <c:v>2016.</c:v>
                </c:pt>
                <c:pt idx="2">
                  <c:v>2017.</c:v>
                </c:pt>
              </c:strCache>
            </c:strRef>
          </c:cat>
          <c:val>
            <c:numRef>
              <c:f>Sheet1!$D$2:$D$4</c:f>
              <c:numCache>
                <c:formatCode>0.00%</c:formatCode>
                <c:ptCount val="3"/>
                <c:pt idx="0">
                  <c:v>1</c:v>
                </c:pt>
                <c:pt idx="1">
                  <c:v>1</c:v>
                </c:pt>
                <c:pt idx="2">
                  <c:v>0.37571227071510299</c:v>
                </c:pt>
              </c:numCache>
            </c:numRef>
          </c:val>
          <c:smooth val="0"/>
          <c:extLst>
            <c:ext xmlns:c16="http://schemas.microsoft.com/office/drawing/2014/chart" uri="{C3380CC4-5D6E-409C-BE32-E72D297353CC}">
              <c16:uniqueId val="{00000002-E51F-4B85-9546-8069CF66910D}"/>
            </c:ext>
          </c:extLst>
        </c:ser>
        <c:dLbls>
          <c:showLegendKey val="0"/>
          <c:showVal val="0"/>
          <c:showCatName val="0"/>
          <c:showSerName val="0"/>
          <c:showPercent val="0"/>
          <c:showBubbleSize val="0"/>
        </c:dLbls>
        <c:marker val="1"/>
        <c:smooth val="0"/>
        <c:axId val="132660040"/>
        <c:axId val="132659256"/>
      </c:lineChart>
      <c:catAx>
        <c:axId val="13011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106496"/>
        <c:crosses val="autoZero"/>
        <c:auto val="1"/>
        <c:lblAlgn val="ctr"/>
        <c:lblOffset val="100"/>
        <c:noMultiLvlLbl val="0"/>
      </c:catAx>
      <c:valAx>
        <c:axId val="1301064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110416"/>
        <c:crosses val="autoZero"/>
        <c:crossBetween val="between"/>
      </c:valAx>
      <c:valAx>
        <c:axId val="132659256"/>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660040"/>
        <c:crosses val="max"/>
        <c:crossBetween val="between"/>
      </c:valAx>
      <c:catAx>
        <c:axId val="132660040"/>
        <c:scaling>
          <c:orientation val="minMax"/>
        </c:scaling>
        <c:delete val="1"/>
        <c:axPos val="b"/>
        <c:numFmt formatCode="General" sourceLinked="1"/>
        <c:majorTickMark val="out"/>
        <c:minorTickMark val="none"/>
        <c:tickLblPos val="nextTo"/>
        <c:crossAx val="13265925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Prihod iCasina RH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Prihod RH</c:v>
                </c:pt>
              </c:strCache>
            </c:strRef>
          </c:tx>
          <c:spPr>
            <a:solidFill>
              <a:schemeClr val="accent1"/>
            </a:solidFill>
            <a:ln>
              <a:noFill/>
            </a:ln>
            <a:effectLst/>
          </c:spPr>
          <c:invertIfNegative val="0"/>
          <c:cat>
            <c:strRef>
              <c:f>Sheet1!$A$2:$A$4</c:f>
              <c:strCache>
                <c:ptCount val="3"/>
                <c:pt idx="0">
                  <c:v>2015.</c:v>
                </c:pt>
                <c:pt idx="1">
                  <c:v>2016.</c:v>
                </c:pt>
                <c:pt idx="2">
                  <c:v>2017.</c:v>
                </c:pt>
              </c:strCache>
            </c:strRef>
          </c:cat>
          <c:val>
            <c:numRef>
              <c:f>Sheet1!$B$2:$B$4</c:f>
              <c:numCache>
                <c:formatCode>#,##0.00</c:formatCode>
                <c:ptCount val="3"/>
                <c:pt idx="0">
                  <c:v>18860157.829999998</c:v>
                </c:pt>
                <c:pt idx="1">
                  <c:v>57147396</c:v>
                </c:pt>
                <c:pt idx="2">
                  <c:v>219300000</c:v>
                </c:pt>
              </c:numCache>
            </c:numRef>
          </c:val>
          <c:extLst>
            <c:ext xmlns:c16="http://schemas.microsoft.com/office/drawing/2014/chart" uri="{C3380CC4-5D6E-409C-BE32-E72D297353CC}">
              <c16:uniqueId val="{00000000-E0AC-4FFA-B8C3-AB700BE8B2D0}"/>
            </c:ext>
          </c:extLst>
        </c:ser>
        <c:ser>
          <c:idx val="1"/>
          <c:order val="1"/>
          <c:tx>
            <c:strRef>
              <c:f>Sheet1!$C$1</c:f>
              <c:strCache>
                <c:ptCount val="1"/>
                <c:pt idx="0">
                  <c:v>Prihod HL</c:v>
                </c:pt>
              </c:strCache>
            </c:strRef>
          </c:tx>
          <c:spPr>
            <a:solidFill>
              <a:schemeClr val="accent2"/>
            </a:solidFill>
            <a:ln>
              <a:noFill/>
            </a:ln>
            <a:effectLst/>
          </c:spPr>
          <c:invertIfNegative val="0"/>
          <c:cat>
            <c:strRef>
              <c:f>Sheet1!$A$2:$A$4</c:f>
              <c:strCache>
                <c:ptCount val="3"/>
                <c:pt idx="0">
                  <c:v>2015.</c:v>
                </c:pt>
                <c:pt idx="1">
                  <c:v>2016.</c:v>
                </c:pt>
                <c:pt idx="2">
                  <c:v>2017.</c:v>
                </c:pt>
              </c:strCache>
            </c:strRef>
          </c:cat>
          <c:val>
            <c:numRef>
              <c:f>Sheet1!$C$2:$C$4</c:f>
              <c:numCache>
                <c:formatCode>#,##0.00</c:formatCode>
                <c:ptCount val="3"/>
                <c:pt idx="0">
                  <c:v>18860157.829999998</c:v>
                </c:pt>
                <c:pt idx="1">
                  <c:v>57147396</c:v>
                </c:pt>
                <c:pt idx="2">
                  <c:v>73222000</c:v>
                </c:pt>
              </c:numCache>
            </c:numRef>
          </c:val>
          <c:extLst>
            <c:ext xmlns:c16="http://schemas.microsoft.com/office/drawing/2014/chart" uri="{C3380CC4-5D6E-409C-BE32-E72D297353CC}">
              <c16:uniqueId val="{00000001-E0AC-4FFA-B8C3-AB700BE8B2D0}"/>
            </c:ext>
          </c:extLst>
        </c:ser>
        <c:dLbls>
          <c:showLegendKey val="0"/>
          <c:showVal val="0"/>
          <c:showCatName val="0"/>
          <c:showSerName val="0"/>
          <c:showPercent val="0"/>
          <c:showBubbleSize val="0"/>
        </c:dLbls>
        <c:gapWidth val="150"/>
        <c:axId val="132660432"/>
        <c:axId val="132661216"/>
      </c:barChart>
      <c:lineChart>
        <c:grouping val="standard"/>
        <c:varyColors val="0"/>
        <c:ser>
          <c:idx val="2"/>
          <c:order val="2"/>
          <c:tx>
            <c:strRef>
              <c:f>Sheet1!$D$1</c:f>
              <c:strCache>
                <c:ptCount val="1"/>
                <c:pt idx="0">
                  <c:v>Udio [%]</c:v>
                </c:pt>
              </c:strCache>
            </c:strRef>
          </c:tx>
          <c:spPr>
            <a:ln w="28575" cap="rnd">
              <a:solidFill>
                <a:schemeClr val="accent3"/>
              </a:solidFill>
              <a:round/>
            </a:ln>
            <a:effectLst/>
          </c:spPr>
          <c:marker>
            <c:symbol val="none"/>
          </c:marker>
          <c:cat>
            <c:strRef>
              <c:f>Sheet1!$A$2:$A$4</c:f>
              <c:strCache>
                <c:ptCount val="3"/>
                <c:pt idx="0">
                  <c:v>2015.</c:v>
                </c:pt>
                <c:pt idx="1">
                  <c:v>2016.</c:v>
                </c:pt>
                <c:pt idx="2">
                  <c:v>2017.</c:v>
                </c:pt>
              </c:strCache>
            </c:strRef>
          </c:cat>
          <c:val>
            <c:numRef>
              <c:f>Sheet1!$D$2:$D$4</c:f>
              <c:numCache>
                <c:formatCode>0.00%</c:formatCode>
                <c:ptCount val="3"/>
                <c:pt idx="0">
                  <c:v>1</c:v>
                </c:pt>
                <c:pt idx="1">
                  <c:v>1</c:v>
                </c:pt>
                <c:pt idx="2">
                  <c:v>0.33388964888280892</c:v>
                </c:pt>
              </c:numCache>
            </c:numRef>
          </c:val>
          <c:smooth val="0"/>
          <c:extLst>
            <c:ext xmlns:c16="http://schemas.microsoft.com/office/drawing/2014/chart" uri="{C3380CC4-5D6E-409C-BE32-E72D297353CC}">
              <c16:uniqueId val="{00000002-E0AC-4FFA-B8C3-AB700BE8B2D0}"/>
            </c:ext>
          </c:extLst>
        </c:ser>
        <c:dLbls>
          <c:showLegendKey val="0"/>
          <c:showVal val="0"/>
          <c:showCatName val="0"/>
          <c:showSerName val="0"/>
          <c:showPercent val="0"/>
          <c:showBubbleSize val="0"/>
        </c:dLbls>
        <c:marker val="1"/>
        <c:smooth val="0"/>
        <c:axId val="132657688"/>
        <c:axId val="132658472"/>
      </c:lineChart>
      <c:catAx>
        <c:axId val="13266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661216"/>
        <c:crosses val="autoZero"/>
        <c:auto val="1"/>
        <c:lblAlgn val="ctr"/>
        <c:lblOffset val="100"/>
        <c:noMultiLvlLbl val="0"/>
      </c:catAx>
      <c:valAx>
        <c:axId val="1326612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660432"/>
        <c:crosses val="autoZero"/>
        <c:crossBetween val="between"/>
      </c:valAx>
      <c:valAx>
        <c:axId val="132658472"/>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657688"/>
        <c:crosses val="max"/>
        <c:crossBetween val="between"/>
      </c:valAx>
      <c:catAx>
        <c:axId val="132657688"/>
        <c:scaling>
          <c:orientation val="minMax"/>
        </c:scaling>
        <c:delete val="1"/>
        <c:axPos val="b"/>
        <c:numFmt formatCode="General" sourceLinked="1"/>
        <c:majorTickMark val="none"/>
        <c:minorTickMark val="none"/>
        <c:tickLblPos val="nextTo"/>
        <c:crossAx val="132658472"/>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Broj igrača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manualLayout>
          <c:layoutTarget val="inner"/>
          <c:xMode val="edge"/>
          <c:yMode val="edge"/>
          <c:x val="0.10650004455905224"/>
          <c:y val="0.12533343651453888"/>
          <c:w val="0.84464229553005221"/>
          <c:h val="0.70026914297275245"/>
        </c:manualLayout>
      </c:layout>
      <c:lineChart>
        <c:grouping val="standard"/>
        <c:varyColors val="0"/>
        <c:ser>
          <c:idx val="0"/>
          <c:order val="0"/>
          <c:tx>
            <c:v>Aktivnih igrača</c:v>
          </c:tx>
          <c:spPr>
            <a:ln w="28575" cap="rnd">
              <a:solidFill>
                <a:schemeClr val="accent1"/>
              </a:solidFill>
              <a:round/>
            </a:ln>
            <a:effectLst/>
          </c:spPr>
          <c:marker>
            <c:symbol val="none"/>
          </c:marker>
          <c:dPt>
            <c:idx val="5"/>
            <c:marker>
              <c:symbol val="none"/>
            </c:marker>
            <c:bubble3D val="0"/>
            <c:extLst>
              <c:ext xmlns:c16="http://schemas.microsoft.com/office/drawing/2014/chart" uri="{C3380CC4-5D6E-409C-BE32-E72D297353CC}">
                <c16:uniqueId val="{00000000-ABC7-4BE8-AA85-C3029232244B}"/>
              </c:ext>
            </c:extLst>
          </c:dPt>
          <c:dPt>
            <c:idx val="6"/>
            <c:marker>
              <c:symbol val="none"/>
            </c:marker>
            <c:bubble3D val="0"/>
            <c:extLst>
              <c:ext xmlns:c16="http://schemas.microsoft.com/office/drawing/2014/chart" uri="{C3380CC4-5D6E-409C-BE32-E72D297353CC}">
                <c16:uniqueId val="{00000001-ABC7-4BE8-AA85-C3029232244B}"/>
              </c:ext>
            </c:extLst>
          </c:dPt>
          <c:dPt>
            <c:idx val="7"/>
            <c:marker>
              <c:symbol val="none"/>
            </c:marker>
            <c:bubble3D val="0"/>
            <c:extLst>
              <c:ext xmlns:c16="http://schemas.microsoft.com/office/drawing/2014/chart" uri="{C3380CC4-5D6E-409C-BE32-E72D297353CC}">
                <c16:uniqueId val="{00000002-ABC7-4BE8-AA85-C3029232244B}"/>
              </c:ext>
            </c:extLst>
          </c:dPt>
          <c:dPt>
            <c:idx val="8"/>
            <c:marker>
              <c:symbol val="none"/>
            </c:marker>
            <c:bubble3D val="0"/>
            <c:spPr>
              <a:ln w="28575" cap="rnd">
                <a:solidFill>
                  <a:schemeClr val="accent1"/>
                </a:solidFill>
                <a:round/>
              </a:ln>
              <a:effectLst/>
            </c:spPr>
            <c:extLst>
              <c:ext xmlns:c16="http://schemas.microsoft.com/office/drawing/2014/chart" uri="{C3380CC4-5D6E-409C-BE32-E72D297353CC}">
                <c16:uniqueId val="{00000004-ABC7-4BE8-AA85-C3029232244B}"/>
              </c:ext>
            </c:extLst>
          </c:dPt>
          <c:dPt>
            <c:idx val="9"/>
            <c:marker>
              <c:symbol val="none"/>
            </c:marker>
            <c:bubble3D val="0"/>
            <c:spPr>
              <a:ln w="28575" cap="rnd">
                <a:solidFill>
                  <a:schemeClr val="accent1"/>
                </a:solidFill>
                <a:round/>
              </a:ln>
              <a:effectLst/>
            </c:spPr>
            <c:extLst>
              <c:ext xmlns:c16="http://schemas.microsoft.com/office/drawing/2014/chart" uri="{C3380CC4-5D6E-409C-BE32-E72D297353CC}">
                <c16:uniqueId val="{00000006-ABC7-4BE8-AA85-C3029232244B}"/>
              </c:ext>
            </c:extLst>
          </c:dPt>
          <c:dLbls>
            <c:dLbl>
              <c:idx val="0"/>
              <c:layout>
                <c:manualLayout>
                  <c:x val="-2.8540386700028508E-2"/>
                  <c:y val="1.1698625265924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BC7-4BE8-AA85-C3029232244B}"/>
                </c:ext>
              </c:extLst>
            </c:dLbl>
            <c:dLbl>
              <c:idx val="1"/>
              <c:layout>
                <c:manualLayout>
                  <c:x val="-3.3271167901397981E-2"/>
                  <c:y val="2.4675526381937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BC7-4BE8-AA85-C302923224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'Broj igrača'!$B$2:$K$2</c:f>
              <c:strCache>
                <c:ptCount val="10"/>
                <c:pt idx="0">
                  <c:v>2010</c:v>
                </c:pt>
                <c:pt idx="1">
                  <c:v>2011</c:v>
                </c:pt>
                <c:pt idx="2">
                  <c:v>2012</c:v>
                </c:pt>
                <c:pt idx="3">
                  <c:v>2013</c:v>
                </c:pt>
                <c:pt idx="4">
                  <c:v>2014</c:v>
                </c:pt>
                <c:pt idx="5">
                  <c:v>2015</c:v>
                </c:pt>
                <c:pt idx="6">
                  <c:v>2016</c:v>
                </c:pt>
                <c:pt idx="7">
                  <c:v>2017</c:v>
                </c:pt>
                <c:pt idx="8">
                  <c:v>2018/do 10. mj.</c:v>
                </c:pt>
                <c:pt idx="9">
                  <c:v>Plan 2018</c:v>
                </c:pt>
              </c:strCache>
            </c:strRef>
          </c:cat>
          <c:val>
            <c:numRef>
              <c:f>'Broj igrača'!$B$19:$J$19</c:f>
              <c:numCache>
                <c:formatCode>#,##0</c:formatCode>
                <c:ptCount val="9"/>
                <c:pt idx="0">
                  <c:v>9613</c:v>
                </c:pt>
                <c:pt idx="1">
                  <c:v>33047</c:v>
                </c:pt>
                <c:pt idx="2">
                  <c:v>49031</c:v>
                </c:pt>
                <c:pt idx="3">
                  <c:v>64095</c:v>
                </c:pt>
                <c:pt idx="4">
                  <c:v>95088</c:v>
                </c:pt>
                <c:pt idx="5">
                  <c:v>107173</c:v>
                </c:pt>
                <c:pt idx="6">
                  <c:v>119073</c:v>
                </c:pt>
                <c:pt idx="7">
                  <c:v>112537</c:v>
                </c:pt>
                <c:pt idx="8">
                  <c:v>124814</c:v>
                </c:pt>
              </c:numCache>
            </c:numRef>
          </c:val>
          <c:smooth val="0"/>
          <c:extLst>
            <c:ext xmlns:c16="http://schemas.microsoft.com/office/drawing/2014/chart" uri="{C3380CC4-5D6E-409C-BE32-E72D297353CC}">
              <c16:uniqueId val="{00000007-ABC7-4BE8-AA85-C3029232244B}"/>
            </c:ext>
          </c:extLst>
        </c:ser>
        <c:ser>
          <c:idx val="1"/>
          <c:order val="1"/>
          <c:tx>
            <c:strRef>
              <c:f>'Broj igrača'!$A$20</c:f>
              <c:strCache>
                <c:ptCount val="1"/>
                <c:pt idx="0">
                  <c:v>Novih registracija</c:v>
                </c:pt>
              </c:strCache>
            </c:strRef>
          </c:tx>
          <c:spPr>
            <a:ln w="28575" cap="rnd">
              <a:solidFill>
                <a:schemeClr val="accent2"/>
              </a:solidFill>
              <a:round/>
            </a:ln>
            <a:effectLst/>
          </c:spPr>
          <c:marker>
            <c:symbol val="none"/>
          </c:marker>
          <c:dPt>
            <c:idx val="5"/>
            <c:marker>
              <c:symbol val="none"/>
            </c:marker>
            <c:bubble3D val="0"/>
            <c:extLst>
              <c:ext xmlns:c16="http://schemas.microsoft.com/office/drawing/2014/chart" uri="{C3380CC4-5D6E-409C-BE32-E72D297353CC}">
                <c16:uniqueId val="{00000008-ABC7-4BE8-AA85-C3029232244B}"/>
              </c:ext>
            </c:extLst>
          </c:dPt>
          <c:dPt>
            <c:idx val="6"/>
            <c:marker>
              <c:symbol val="none"/>
            </c:marker>
            <c:bubble3D val="0"/>
            <c:extLst>
              <c:ext xmlns:c16="http://schemas.microsoft.com/office/drawing/2014/chart" uri="{C3380CC4-5D6E-409C-BE32-E72D297353CC}">
                <c16:uniqueId val="{00000009-ABC7-4BE8-AA85-C3029232244B}"/>
              </c:ext>
            </c:extLst>
          </c:dPt>
          <c:dPt>
            <c:idx val="7"/>
            <c:marker>
              <c:symbol val="none"/>
            </c:marker>
            <c:bubble3D val="0"/>
            <c:extLst>
              <c:ext xmlns:c16="http://schemas.microsoft.com/office/drawing/2014/chart" uri="{C3380CC4-5D6E-409C-BE32-E72D297353CC}">
                <c16:uniqueId val="{0000000A-ABC7-4BE8-AA85-C3029232244B}"/>
              </c:ext>
            </c:extLst>
          </c:dPt>
          <c:dPt>
            <c:idx val="8"/>
            <c:marker>
              <c:symbol val="none"/>
            </c:marker>
            <c:bubble3D val="0"/>
            <c:spPr>
              <a:ln w="28575" cap="rnd">
                <a:solidFill>
                  <a:schemeClr val="accent2"/>
                </a:solidFill>
                <a:round/>
              </a:ln>
              <a:effectLst/>
            </c:spPr>
            <c:extLst>
              <c:ext xmlns:c16="http://schemas.microsoft.com/office/drawing/2014/chart" uri="{C3380CC4-5D6E-409C-BE32-E72D297353CC}">
                <c16:uniqueId val="{0000000C-ABC7-4BE8-AA85-C3029232244B}"/>
              </c:ext>
            </c:extLst>
          </c:dPt>
          <c:dPt>
            <c:idx val="9"/>
            <c:marker>
              <c:symbol val="none"/>
            </c:marker>
            <c:bubble3D val="0"/>
            <c:spPr>
              <a:ln w="28575" cap="rnd">
                <a:solidFill>
                  <a:schemeClr val="accent2"/>
                </a:solidFill>
                <a:round/>
              </a:ln>
              <a:effectLst/>
            </c:spPr>
            <c:extLst>
              <c:ext xmlns:c16="http://schemas.microsoft.com/office/drawing/2014/chart" uri="{C3380CC4-5D6E-409C-BE32-E72D297353CC}">
                <c16:uniqueId val="{0000000E-ABC7-4BE8-AA85-C3029232244B}"/>
              </c:ext>
            </c:extLst>
          </c:dPt>
          <c:dLbls>
            <c:dLbl>
              <c:idx val="1"/>
              <c:layout>
                <c:manualLayout>
                  <c:x val="-4.6758125822507483E-2"/>
                  <c:y val="-1.35489065683555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r"/>
              <c:showLegendKey val="0"/>
              <c:showVal val="1"/>
              <c:showCatName val="0"/>
              <c:showSerName val="0"/>
              <c:showPercent val="0"/>
              <c:showBubbleSize val="0"/>
              <c:extLst>
                <c:ext xmlns:c15="http://schemas.microsoft.com/office/drawing/2012/chart" uri="{CE6537A1-D6FC-4f65-9D91-7224C49458BB}">
                  <c15:layout>
                    <c:manualLayout>
                      <c:w val="7.0691980495902057E-2"/>
                      <c:h val="2.8510353932205398E-2"/>
                    </c:manualLayout>
                  </c15:layout>
                </c:ext>
                <c:ext xmlns:c16="http://schemas.microsoft.com/office/drawing/2014/chart" uri="{C3380CC4-5D6E-409C-BE32-E72D297353CC}">
                  <c16:uniqueId val="{0000001A-ABC7-4BE8-AA85-C302923224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'Broj igrača'!$B$2:$K$2</c:f>
              <c:strCache>
                <c:ptCount val="10"/>
                <c:pt idx="0">
                  <c:v>2010</c:v>
                </c:pt>
                <c:pt idx="1">
                  <c:v>2011</c:v>
                </c:pt>
                <c:pt idx="2">
                  <c:v>2012</c:v>
                </c:pt>
                <c:pt idx="3">
                  <c:v>2013</c:v>
                </c:pt>
                <c:pt idx="4">
                  <c:v>2014</c:v>
                </c:pt>
                <c:pt idx="5">
                  <c:v>2015</c:v>
                </c:pt>
                <c:pt idx="6">
                  <c:v>2016</c:v>
                </c:pt>
                <c:pt idx="7">
                  <c:v>2017</c:v>
                </c:pt>
                <c:pt idx="8">
                  <c:v>2018/do 10. mj.</c:v>
                </c:pt>
                <c:pt idx="9">
                  <c:v>Plan 2018</c:v>
                </c:pt>
              </c:strCache>
            </c:strRef>
          </c:cat>
          <c:val>
            <c:numRef>
              <c:f>'Broj igrača'!$B$20:$J$20</c:f>
              <c:numCache>
                <c:formatCode>#,##0</c:formatCode>
                <c:ptCount val="9"/>
                <c:pt idx="0">
                  <c:v>15165</c:v>
                </c:pt>
                <c:pt idx="1">
                  <c:v>40069</c:v>
                </c:pt>
                <c:pt idx="2">
                  <c:v>30354</c:v>
                </c:pt>
                <c:pt idx="3">
                  <c:v>45483</c:v>
                </c:pt>
                <c:pt idx="4">
                  <c:v>42215</c:v>
                </c:pt>
                <c:pt idx="5">
                  <c:v>51109</c:v>
                </c:pt>
                <c:pt idx="6">
                  <c:v>51034</c:v>
                </c:pt>
                <c:pt idx="7">
                  <c:v>38218</c:v>
                </c:pt>
                <c:pt idx="8">
                  <c:v>34290</c:v>
                </c:pt>
              </c:numCache>
            </c:numRef>
          </c:val>
          <c:smooth val="0"/>
          <c:extLst>
            <c:ext xmlns:c16="http://schemas.microsoft.com/office/drawing/2014/chart" uri="{C3380CC4-5D6E-409C-BE32-E72D297353CC}">
              <c16:uniqueId val="{00000010-ABC7-4BE8-AA85-C3029232244B}"/>
            </c:ext>
          </c:extLst>
        </c:ser>
        <c:dLbls>
          <c:showLegendKey val="0"/>
          <c:showVal val="0"/>
          <c:showCatName val="0"/>
          <c:showSerName val="0"/>
          <c:showPercent val="0"/>
          <c:showBubbleSize val="0"/>
        </c:dLbls>
        <c:smooth val="0"/>
        <c:axId val="132660824"/>
        <c:axId val="132655728"/>
      </c:lineChart>
      <c:catAx>
        <c:axId val="132660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655728"/>
        <c:crosses val="autoZero"/>
        <c:auto val="1"/>
        <c:lblAlgn val="ctr"/>
        <c:lblOffset val="100"/>
        <c:noMultiLvlLbl val="0"/>
      </c:catAx>
      <c:valAx>
        <c:axId val="132655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Broj igrača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660824"/>
        <c:crosses val="autoZero"/>
        <c:crossBetween val="between"/>
      </c:valAx>
      <c:spPr>
        <a:noFill/>
        <a:ln>
          <a:noFill/>
        </a:ln>
        <a:effectLst/>
      </c:spPr>
    </c:plotArea>
    <c:legend>
      <c:legendPos val="b"/>
      <c:layout>
        <c:manualLayout>
          <c:xMode val="edge"/>
          <c:yMode val="edge"/>
          <c:x val="0.2959613708417167"/>
          <c:y val="0.88796130466815593"/>
          <c:w val="0.41222706638794332"/>
          <c:h val="7.75154713377869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B27DD-3FCD-4D8F-B421-074D4E0C5352}">
  <ds:schemaRefs>
    <ds:schemaRef ds:uri="http://schemas.microsoft.com/sharepoint/v3/contenttype/forms"/>
  </ds:schemaRefs>
</ds:datastoreItem>
</file>

<file path=customXml/itemProps2.xml><?xml version="1.0" encoding="utf-8"?>
<ds:datastoreItem xmlns:ds="http://schemas.openxmlformats.org/officeDocument/2006/customXml" ds:itemID="{053AED2D-3B22-4EA0-B9AC-D93BDA3144A2}">
  <ds:schemaRefs>
    <ds:schemaRef ds:uri="http://schemas.microsoft.com/sharepoint/events"/>
  </ds:schemaRefs>
</ds:datastoreItem>
</file>

<file path=customXml/itemProps3.xml><?xml version="1.0" encoding="utf-8"?>
<ds:datastoreItem xmlns:ds="http://schemas.openxmlformats.org/officeDocument/2006/customXml" ds:itemID="{1E4EBEA1-4A8A-4141-A9C5-04CCAEA85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E4090-C58B-4222-A319-DF7EDF9E809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A67F432-1DE9-426D-A437-B74116EC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12908</Words>
  <Characters>73582</Characters>
  <Application>Microsoft Office Word</Application>
  <DocSecurity>8</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Martina.Cerni@lutrija.hr</dc:creator>
  <cp:keywords/>
  <dc:description/>
  <cp:lastModifiedBy>Vlatka Šelimber</cp:lastModifiedBy>
  <cp:revision>2</cp:revision>
  <cp:lastPrinted>2018-12-06T09:41:00Z</cp:lastPrinted>
  <dcterms:created xsi:type="dcterms:W3CDTF">2019-09-05T07:27:00Z</dcterms:created>
  <dcterms:modified xsi:type="dcterms:W3CDTF">2019-09-05T07:27:00Z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